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F234" w14:textId="77777777" w:rsidR="00654111" w:rsidRPr="00654111" w:rsidRDefault="00654111" w:rsidP="00654111">
      <w:pPr>
        <w:outlineLvl w:val="0"/>
        <w:rPr>
          <w:rFonts w:ascii="Inter" w:eastAsia="Times New Roman" w:hAnsi="Inter" w:cs="Times New Roman"/>
          <w:b/>
          <w:bCs/>
          <w:kern w:val="36"/>
          <w:sz w:val="36"/>
          <w:szCs w:val="36"/>
          <w14:ligatures w14:val="none"/>
        </w:rPr>
        <w:spacing w:before="480" w:after="160"/>
        <w:pBdr>
          <w:left w:val="single" w:sz="24" w:space="8" w:color="1A6FD4"/>
        </w:pBdr>
      </w:pPr>
      <w:r w:rsidRPr="00654111">
        <w:rPr>
          <w:rFonts w:ascii="Arial" w:eastAsia="Times New Roman" w:hAnsi="Arial" w:cs="Arial"/>
          <w:b/>
          <w:bCs/>
          <w:kern w:val="36"/>
          <w:sz w:val="32"/>
          <w:szCs w:val="36"/>
          <w14:ligatures w14:val="none"/>
          <w:color w:val="1A6FD4"/>
        </w:rPr>
        <w:t>Part I — Context, Motivation, and Design Philosophy</w:t>
      </w:r>
    </w:p>
    <w:p w14:paraId="32DF775A" w14:textId="77777777" w:rsidR="00654111" w:rsidRPr="00654111" w:rsidRDefault="00654111" w:rsidP="00654111">
      <w:pPr>
        <w:spacing w:after="0" w:line="240" w:lineRule="auto"/>
        <w:rPr>
          <w:rFonts w:ascii="Inter" w:eastAsia="Times New Roman" w:hAnsi="Inter" w:cs="Times New Roman"/>
          <w:kern w:val="0"/>
          <w:sz w:val="20"/>
          <w:szCs w:val="20"/>
          <w14:ligatures w14:val="none"/>
        </w:rPr>
      </w:pPr>
    </w:p>
    <w:p w14:paraId="41F295F5" w14:textId="77777777" w:rsidR="00654111" w:rsidRPr="00654111" w:rsidRDefault="00654111" w:rsidP="00654111">
      <w:pPr>
        <w:outlineLvl w:val="1"/>
        <w:rPr>
          <w:rFonts w:ascii="Inter" w:eastAsia="Times New Roman" w:hAnsi="Inter" w:cs="Times New Roman"/>
          <w:b/>
          <w:bCs/>
          <w:kern w:val="0"/>
          <w14:ligatures w14:val="none"/>
        </w:rPr>
        <w:spacing w:before="360" w:after="120"/>
        <w:pBdr>
          <w:left w:val="single" w:sz="12" w:space="6" w:color="1A6FD4"/>
        </w:pBdr>
      </w:pPr>
      <w:r w:rsidRPr="00654111">
        <w:rPr>
          <w:rFonts w:ascii="Arial" w:eastAsia="Times New Roman" w:hAnsi="Arial" w:cs="Arial"/>
          <w:b/>
          <w:bCs/>
          <w:kern w:val="0"/>
          <w14:ligatures w14:val="none"/>
          <w:color w:val="1A6FD4"/>
          <w:sz w:val="26"/>
        </w:rPr>
        <w:t>1. The State of Blockchain Infrastructure</w:t>
      </w:r>
    </w:p>
    <w:p w14:paraId="126F9ED0" w14:textId="77777777" w:rsidR="00654111" w:rsidRPr="00654111" w:rsidRDefault="00654111" w:rsidP="00654111">
      <w:pPr>
        <w:spacing w:after="0" w:line="240" w:lineRule="auto"/>
        <w:rPr>
          <w:rFonts w:ascii="Inter" w:eastAsia="Times New Roman" w:hAnsi="Inter" w:cs="Times New Roman"/>
          <w:kern w:val="0"/>
          <w:sz w:val="20"/>
          <w:szCs w:val="20"/>
          <w14:ligatures w14:val="none"/>
        </w:rPr>
      </w:pPr>
    </w:p>
    <w:p w14:paraId="5F2C5DFD"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1.1 Fragmentation of Blockchain Ecosystems</w:t>
      </w:r>
    </w:p>
    <w:p w14:paraId="441E973D" w14:textId="77777777" w:rsidR="00654111" w:rsidRPr="00654111" w:rsidRDefault="00654111" w:rsidP="00654111">
      <w:pPr>
        <w:spacing w:after="0" w:line="240" w:lineRule="auto"/>
        <w:ind w:left="360"/>
        <w:rPr>
          <w:rFonts w:ascii="Inter" w:eastAsia="Times New Roman" w:hAnsi="Inter" w:cs="Times New Roman"/>
          <w:kern w:val="0"/>
          <w:sz w:val="20"/>
          <w:szCs w:val="20"/>
          <w14:ligatures w14:val="none"/>
        </w:rPr>
      </w:pPr>
    </w:p>
    <w:p w14:paraId="649CE150"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Over the past decade, blockchain systems have proliferated into thousands of independent networks, each optimized around distinct design priorities such as throughput, programmability, privacy, or governance. While this diversity has driven experimentation, it has also resulted in profound structural fragmentation. Assets, applications, identities, and liquidity remain siloed within isolated execution environments, unable to interoperate without external coordination mechanisms.</w:t>
      </w:r>
    </w:p>
    <w:p w14:paraId="717CB850"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8B7D7B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This fragmentation imposes systemic costs. Developers are forced to select a single execution environment and forgo access to other ecosystems, or else maintain parallel deployments across incompatible platforms. Users must manage multiple wallets, address formats, security assumptions, and operational workflows. Liquidity fractures across chains, reducing capital efficiency and amplifying volatility.</w:t>
      </w:r>
    </w:p>
    <w:p w14:paraId="1FDC3F1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F6DD9A8" w14:textId="77777777" w:rsid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Most critically, fragmentation undermines the composability that originally distinguished blockchain systems from traditional financial and computing infrastructure. In a fragmented multi-chain landscape, the global state of decentralized systems becomes opaque, inconsistent, and difficult to reason about. Without a unifying architectural framework, blockchains evolve not as a coherent ecosystem, but as a collection of disconnected ledgers competing for relevance.</w:t>
      </w:r>
    </w:p>
    <w:p w14:paraId="5D5F52B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D2D6129"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0A738A65"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1.2 Security Failures in Bridges and Interoperability</w:t>
      </w:r>
    </w:p>
    <w:p w14:paraId="0D90F4E0"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0D0EE0FD"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To compensate for fragmentation, the industry has relied heavily on cross-chain bridges and interoperability services. These systems typically function by locking assets on one blockchain and issuing representations on another, mediated by custodial contracts, multi-signature schemes, or privileged relayer sets.</w:t>
      </w:r>
    </w:p>
    <w:p w14:paraId="0ED9F273"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A36E384"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Empirically, this approach has proven fragile. Bridge exploits have resulted in some of the largest security failures in the history of blockchain systems, with losses totaling billions of dollars. These failures are not merely implementation bugs; they reflect fundamental architectural weaknesses. Bridge-based models concentrate risk, introduce opaque trust assumptions, and rely on complex state synchronization across heterogeneous consensus systems.</w:t>
      </w:r>
    </w:p>
    <w:p w14:paraId="06C33292"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0977C8EF"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Many interoperability mechanisms further depend on probabilistic validation, centralized governance intervention, or discretionary recovery procedures. As a result, users cannot independently verify cross-chain correctness, and failures often require ad hoc human coordination to resolve. This stands in direct tension with the core principles of decentralization and trust minimization.</w:t>
      </w:r>
    </w:p>
    <w:p w14:paraId="53642DA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4538155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The cumulative evidence indicates that bridge-based interoperability is not an engineering inconvenience to be optimized away, but a flawed paradigm that cannot scale safely as blockchain usage grows.</w:t>
      </w:r>
    </w:p>
    <w:p w14:paraId="1396A05E" w14:textId="64400194" w:rsidR="00654111" w:rsidRDefault="00654111" w:rsidP="00654111">
      <w:pPr>
        <w:spacing w:after="0" w:line="288" w:lineRule="auto"/>
        <w:ind w:left="360"/>
        <w:rPr>
          <w:rFonts w:ascii="Inter" w:eastAsia="Times New Roman" w:hAnsi="Inter" w:cs="Times New Roman"/>
          <w:kern w:val="0"/>
          <w:sz w:val="20"/>
          <w:szCs w:val="20"/>
          <w14:ligatures w14:val="none"/>
        </w:rPr>
      </w:pPr>
    </w:p>
    <w:p w14:paraId="3E2D206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1492E4C2"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1.3 Centralization Pressures in Modern Consensus</w:t>
      </w:r>
    </w:p>
    <w:p w14:paraId="625E9934"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228389B"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Consensus mechanisms determine who has the authority to update a blockchain’s state. While early systems emphasized decentralization through open participation, many contemporary networks have converged toward increasingly centralized validation structures.</w:t>
      </w:r>
    </w:p>
    <w:p w14:paraId="3C106E8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D6DBB5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In proof-of-work systems, economies of scale favor large mining operations with access to specialized hardware and low-cost energy. In proof-of-stake systems, capital concentration, delegation dynamics, and operational complexity tend to funnel influence toward a small number of professional validators or custodial intermediaries. Over time, these dynamics produce validator cartels capable of exerting outsized control over network governance, transaction ordering, and protocol evolution.</w:t>
      </w:r>
    </w:p>
    <w:p w14:paraId="55B8C13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2BD90ED5"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Even when such concentration does not result in overt malicious behavior, it erodes the credibility of decentralization claims and increases systemic fragility. Networks become more susceptible to coordinated failures, regulatory capture, and governance deadlock. Furthermore, incentive structures that reward individual competition over collective reliability discourage behaviors that improve long-term network health, such as redundancy, cooperation, and transparent governance participation.</w:t>
      </w:r>
    </w:p>
    <w:p w14:paraId="411ACF88"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3C98593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These trends suggest that decentralization cannot be preserved through participation alone; it must be actively reinforced through incentive design and consensus architecture.</w:t>
      </w:r>
    </w:p>
    <w:p w14:paraId="3BA27CE6" w14:textId="72E691FF" w:rsidR="00654111" w:rsidRDefault="00654111" w:rsidP="00654111">
      <w:pPr>
        <w:spacing w:after="0" w:line="288" w:lineRule="auto"/>
        <w:ind w:left="360"/>
        <w:rPr>
          <w:rFonts w:ascii="Inter" w:eastAsia="Times New Roman" w:hAnsi="Inter" w:cs="Times New Roman"/>
          <w:kern w:val="0"/>
          <w:sz w:val="20"/>
          <w:szCs w:val="20"/>
          <w14:ligatures w14:val="none"/>
        </w:rPr>
      </w:pPr>
    </w:p>
    <w:p w14:paraId="60C875C3"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39E640F"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1.4 The Imminent Quantum Computing Threat</w:t>
      </w:r>
    </w:p>
    <w:p w14:paraId="4E7191DA"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75F5427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Nearly all blockchain systems in operation today rely on public-key cryptographic schemes whose security assumptions are invalidated by sufficiently powerful quantum computers. Advances in quantum algorithms demonstrate that once scalable quantum hardware becomes available, widely used digital signature and key-exchange mechanisms will be vulnerable to efficient attack.</w:t>
      </w:r>
    </w:p>
    <w:p w14:paraId="5D02D89E"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13D1112"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This threat is not speculative. Encrypted blockchain data is publicly observable and permanently stored. Adversaries can record transactions, signatures, and keys today and decrypt or forge them in the future once quantum capabilities mature—a scenario commonly described as “harvest now, decrypt later.” For long-lived assets, governance keys, and institutional deployments, this risk is existential rather than theoretical.</w:t>
      </w:r>
    </w:p>
    <w:p w14:paraId="2EC4BA0E"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4C226EBF"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Retrofitting quantum resistance into existing blockchain systems presents substantial challenges. Cryptographic primitives are deeply embedded into address formats, transaction structures, consensus messages, and interoperability protocols. Migrating these systems post hoc risks network disruption, governance contention, and partial incompatibility.</w:t>
      </w:r>
    </w:p>
    <w:p w14:paraId="5FFF700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57A745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The absence of native post-quantum cryptographic foundations therefore represents a structural liability for most existing blockchains, not a minor upgrade path.</w:t>
      </w:r>
    </w:p>
    <w:p w14:paraId="25CD4036" w14:textId="04718130" w:rsidR="00654111" w:rsidRDefault="00654111" w:rsidP="00654111">
      <w:pPr>
        <w:spacing w:after="0" w:line="288" w:lineRule="auto"/>
        <w:ind w:left="360"/>
        <w:rPr>
          <w:rFonts w:ascii="Inter" w:eastAsia="Times New Roman" w:hAnsi="Inter" w:cs="Times New Roman"/>
          <w:kern w:val="0"/>
          <w:sz w:val="20"/>
          <w:szCs w:val="20"/>
          <w14:ligatures w14:val="none"/>
        </w:rPr>
      </w:pPr>
    </w:p>
    <w:p w14:paraId="341D3515"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216F1605" w14:textId="77777777" w:rsidR="00654111" w:rsidRDefault="00654111" w:rsidP="00654111">
      <w:pPr>
        <w:spacing w:after="0" w:line="288" w:lineRule="auto"/>
        <w:ind w:left="360"/>
        <w:outlineLvl w:val="2"/>
        <w:rPr>
          <w:rFonts w:ascii="Inter" w:eastAsia="Times New Roman" w:hAnsi="Inter" w:cs="Times New Roman"/>
          <w:b/>
          <w:bCs/>
          <w:kern w:val="0"/>
          <w:sz w:val="21"/>
          <w:szCs w:val="21"/>
          <w14:ligatures w14:val="none"/>
        </w:rPr>
      </w:pPr>
    </w:p>
    <w:p w14:paraId="4E2529F6" w14:textId="18662390"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lastRenderedPageBreak/>
        <w:t>1.5 Why Incremental Improvements Are Insufficient</w:t>
      </w:r>
    </w:p>
    <w:p w14:paraId="02C7B41D"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425565A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The challenges outlined above—fragmentation, insecure interoperability, centralization pressure, and quantum vulnerability—are often treated as separate problems addressed through incremental improvements: faster bridges, modified staking rules, layered security add-ons, or future migration plans.</w:t>
      </w:r>
    </w:p>
    <w:p w14:paraId="612A469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2DE3B852"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However, these issues are interdependent. Interoperability mechanisms inherit the security properties of underlying cryptography. Consensus incentives shape governance outcomes and upgrade feasibility. Cryptographic assumptions constrain long-term system viability. Attempting to solve any one of these challenges in isolation introduces new failure modes elsewhere.</w:t>
      </w:r>
    </w:p>
    <w:p w14:paraId="1422FFFA"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1DC2D9A9"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Incremental modifications layered atop architectures that were not designed for cooperation, deterministic cross-chain verification, or quantum resistance tend to increase complexity without resolving root causes. Over time, such systems accumulate technical and governance debt, making comprehensive reform increasingly difficult.</w:t>
      </w:r>
    </w:p>
    <w:p w14:paraId="5724F8F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406F198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A durable solution requires a foundational redesign—one that treats interoperability, cryptographic resilience, consensus incentives, and governance as mutually reinforcing components of a single system rather than independent modules. Synergy Network is proposed in response to this necessity.</w:t>
      </w:r>
    </w:p>
    <w:p w14:paraId="7908F3ED"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782B9A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Having established the structural limitations of existing blockchain infrastructure, the next section formalizes the design goals and non-negotiable principles that guide the Synergy Network architecture.</w:t>
      </w:r>
    </w:p>
    <w:p w14:paraId="4486F49A" w14:textId="77777777" w:rsidR="00654111" w:rsidRDefault="00654111" w:rsidP="00654111">
      <w:pPr>
        <w:spacing w:after="0" w:line="288" w:lineRule="auto"/>
        <w:rPr>
          <w:rFonts w:ascii="Inter" w:hAnsi="Inter"/>
          <w:sz w:val="20"/>
          <w:szCs w:val="20"/>
        </w:rPr>
      </w:pPr>
    </w:p>
    <w:p w14:paraId="43C75ED3" w14:textId="528D8C22" w:rsidR="00654111" w:rsidRPr="00654111" w:rsidRDefault="00031C73" w:rsidP="00654111">
      <w:pPr>
        <w:spacing w:after="0" w:line="288" w:lineRule="auto"/>
        <w:rPr>
          <w:rFonts w:ascii="Inter" w:hAnsi="Inter"/>
          <w:sz w:val="20"/>
          <w:szCs w:val="20"/>
        </w:rPr>
      </w:pPr>
      <w:r>
        <w:rPr>
          <w:rFonts w:ascii="Inter" w:hAnsi="Inter"/>
          <w:noProof/>
          <w:sz w:val="20"/>
          <w:szCs w:val="20"/>
        </w:rPr>
        <w:pict w14:anchorId="1E986616">
          <v:rect id="_x0000_i1025" alt="" style="width:468pt;height:.05pt;mso-width-percent:0;mso-height-percent:0;mso-width-percent:0;mso-height-percent:0" o:hralign="center" o:hrstd="t" o:hr="t" fillcolor="#a0a0a0" stroked="f"/>
        </w:pict>
      </w:r>
    </w:p>
    <w:p w14:paraId="6FDA0E86" w14:textId="77777777" w:rsidR="00654111" w:rsidRDefault="00654111" w:rsidP="00654111">
      <w:pPr>
        <w:spacing w:after="0" w:line="288" w:lineRule="auto"/>
        <w:rPr>
          <w:rFonts w:ascii="Inter" w:hAnsi="Inter"/>
          <w:sz w:val="20"/>
          <w:szCs w:val="20"/>
        </w:rPr>
      </w:pPr>
    </w:p>
    <w:p w14:paraId="28C03098" w14:textId="77777777" w:rsidR="00654111" w:rsidRPr="00654111" w:rsidRDefault="00654111" w:rsidP="00654111">
      <w:pPr>
        <w:outlineLvl w:val="1"/>
        <w:rPr>
          <w:rFonts w:ascii="Inter" w:eastAsia="Times New Roman" w:hAnsi="Inter" w:cs="Times New Roman"/>
          <w:b/>
          <w:bCs/>
          <w:kern w:val="0"/>
          <w14:ligatures w14:val="none"/>
        </w:rPr>
        <w:spacing w:before="360" w:after="120"/>
        <w:pBdr>
          <w:left w:val="single" w:sz="12" w:space="6" w:color="1A6FD4"/>
        </w:pBdr>
      </w:pPr>
      <w:r w:rsidRPr="00654111">
        <w:rPr>
          <w:rFonts w:ascii="Arial" w:eastAsia="Times New Roman" w:hAnsi="Arial" w:cs="Arial"/>
          <w:b/>
          <w:bCs/>
          <w:kern w:val="0"/>
          <w14:ligatures w14:val="none"/>
          <w:color w:val="1A6FD4"/>
          <w:sz w:val="26"/>
        </w:rPr>
        <w:t>2. Design Goals and Non-Negotiables</w:t>
      </w:r>
    </w:p>
    <w:p w14:paraId="7015115B" w14:textId="77777777" w:rsidR="00654111" w:rsidRPr="00654111" w:rsidRDefault="00654111" w:rsidP="00654111">
      <w:pPr>
        <w:spacing w:after="0" w:line="288" w:lineRule="auto"/>
        <w:rPr>
          <w:rFonts w:ascii="Inter" w:eastAsia="Times New Roman" w:hAnsi="Inter" w:cs="Times New Roman"/>
          <w:kern w:val="0"/>
          <w:sz w:val="20"/>
          <w:szCs w:val="20"/>
          <w14:ligatures w14:val="none"/>
        </w:rPr>
      </w:pPr>
    </w:p>
    <w:p w14:paraId="7347BD9A" w14:textId="77777777" w:rsidR="00654111" w:rsidRPr="00654111" w:rsidRDefault="00654111" w:rsidP="00654111">
      <w:pPr>
        <w:spacing w:after="0" w:line="288" w:lineRule="auto"/>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Synergy Network is not defined by a collection of features, but by a set of constraints that limit what the system is allowed to become. These constraints are intentionally restrictive. They exist to prevent architectural drift, short-term optimization, and retroactive rationalization as the network evolves.</w:t>
      </w:r>
    </w:p>
    <w:p w14:paraId="2241AC37" w14:textId="77777777" w:rsidR="00654111" w:rsidRPr="00654111" w:rsidRDefault="00654111" w:rsidP="00654111">
      <w:pPr>
        <w:spacing w:after="0" w:line="288" w:lineRule="auto"/>
        <w:rPr>
          <w:rFonts w:ascii="Inter" w:eastAsia="Times New Roman" w:hAnsi="Inter" w:cs="Times New Roman"/>
          <w:kern w:val="0"/>
          <w:sz w:val="20"/>
          <w:szCs w:val="20"/>
          <w14:ligatures w14:val="none"/>
        </w:rPr>
      </w:pPr>
    </w:p>
    <w:p w14:paraId="4C7889C7" w14:textId="77777777" w:rsidR="00654111" w:rsidRPr="00654111" w:rsidRDefault="00654111" w:rsidP="00654111">
      <w:pPr>
        <w:spacing w:after="0" w:line="288" w:lineRule="auto"/>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 xml:space="preserve">Each goal articulated below is treated as a </w:t>
      </w:r>
      <w:r w:rsidRPr="00654111">
        <w:rPr>
          <w:rFonts w:ascii="Inter" w:eastAsia="Times New Roman" w:hAnsi="Inter" w:cs="Inter"/>
          <w:b/>
          <w:bCs/>
          <w:kern w:val="0"/>
          <w:sz w:val="20"/>
          <w:szCs w:val="20"/>
          <w14:ligatures w14:val="none"/>
        </w:rPr>
        <w:t>non-negotiable design requirement</w:t>
      </w:r>
      <w:r w:rsidRPr="00654111">
        <w:rPr>
          <w:rFonts w:ascii="Inter" w:eastAsia="Times New Roman" w:hAnsi="Inter" w:cs="Inter"/>
          <w:kern w:val="0"/>
          <w:sz w:val="20"/>
          <w:szCs w:val="20"/>
          <w14:ligatures w14:val="none"/>
        </w:rPr>
        <w:t>. Where trade-offs arise, decisions are resolved in favor of these principles, even at the expense of convenience, short-term performance, or compatibility with legacy systems.</w:t>
      </w:r>
    </w:p>
    <w:p w14:paraId="52A7BE85" w14:textId="77777777" w:rsidR="00654111" w:rsidRDefault="00654111" w:rsidP="00654111">
      <w:pPr>
        <w:spacing w:after="0" w:line="288" w:lineRule="auto"/>
        <w:outlineLvl w:val="2"/>
        <w:rPr>
          <w:rFonts w:ascii="Inter" w:eastAsia="Times New Roman" w:hAnsi="Inter" w:cs="Times New Roman"/>
          <w:kern w:val="0"/>
          <w:sz w:val="20"/>
          <w:szCs w:val="20"/>
          <w14:ligatures w14:val="none"/>
        </w:rPr>
      </w:pPr>
    </w:p>
    <w:p w14:paraId="4E732A75" w14:textId="77777777" w:rsidR="00654111" w:rsidRDefault="00654111" w:rsidP="00654111">
      <w:pPr>
        <w:spacing w:after="0" w:line="288" w:lineRule="auto"/>
        <w:outlineLvl w:val="2"/>
        <w:rPr>
          <w:rFonts w:ascii="Inter" w:eastAsia="Times New Roman" w:hAnsi="Inter" w:cs="Times New Roman"/>
          <w:kern w:val="0"/>
          <w:sz w:val="20"/>
          <w:szCs w:val="20"/>
          <w14:ligatures w14:val="none"/>
        </w:rPr>
      </w:pPr>
    </w:p>
    <w:p w14:paraId="10753969" w14:textId="4CE6F091"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2.1 Quantum Security as a First-Class Constraint</w:t>
      </w:r>
    </w:p>
    <w:p w14:paraId="7C283387"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2D4DBFB3"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Synergy Network is designed under the assumption that large-scale quantum computing will eventually render classical public-key cryptography insecure. This assumption is treated not as a speculative risk, but as a future certainty with an uncertain timeline.</w:t>
      </w:r>
    </w:p>
    <w:p w14:paraId="1AC00108"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2F462ED"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 xml:space="preserve">As a result, post-quantum security is not an optional upgrade path or auxiliary module. It is a </w:t>
      </w:r>
      <w:r w:rsidRPr="00654111">
        <w:rPr>
          <w:rFonts w:ascii="Inter" w:eastAsia="Times New Roman" w:hAnsi="Inter" w:cs="Inter"/>
          <w:b/>
          <w:bCs/>
          <w:kern w:val="0"/>
          <w:sz w:val="20"/>
          <w:szCs w:val="20"/>
          <w14:ligatures w14:val="none"/>
        </w:rPr>
        <w:t>first-class constraint</w:t>
      </w:r>
      <w:r w:rsidRPr="00654111">
        <w:rPr>
          <w:rFonts w:ascii="Inter" w:eastAsia="Times New Roman" w:hAnsi="Inter" w:cs="Inter"/>
          <w:kern w:val="0"/>
          <w:sz w:val="20"/>
          <w:szCs w:val="20"/>
          <w14:ligatures w14:val="none"/>
        </w:rPr>
        <w:t xml:space="preserve"> that shapes address formats, transaction authentication, consensus messaging, cross-chain verification, and governance operations from inception.</w:t>
      </w:r>
    </w:p>
    <w:p w14:paraId="048401D5"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746F2CA"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This design choice implies several structural commitments:</w:t>
      </w:r>
    </w:p>
    <w:p w14:paraId="57DD01E1" w14:textId="77777777" w:rsidR="00654111" w:rsidRPr="00654111" w:rsidRDefault="00654111" w:rsidP="00654111">
      <w:pPr>
        <w:numPr>
          <w:ilvl w:val="0"/>
          <w:numId w:val="1"/>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Cryptographic primitives must be quantum-resistant by default, not by configuration.</w:t>
      </w:r>
    </w:p>
    <w:p w14:paraId="549DEE0D" w14:textId="77777777" w:rsidR="00654111" w:rsidRPr="00654111" w:rsidRDefault="00654111" w:rsidP="00654111">
      <w:pPr>
        <w:numPr>
          <w:ilvl w:val="0"/>
          <w:numId w:val="1"/>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Key lifecycle management, including rotation and revocation, must be protocol-enforced rather than left to off-chain convention.</w:t>
      </w:r>
    </w:p>
    <w:p w14:paraId="49C25658" w14:textId="77777777" w:rsidR="00654111" w:rsidRPr="00654111" w:rsidRDefault="00654111" w:rsidP="00654111">
      <w:pPr>
        <w:numPr>
          <w:ilvl w:val="0"/>
          <w:numId w:val="1"/>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Security guarantees must remain valid under both classical and quantum adversary models.</w:t>
      </w:r>
    </w:p>
    <w:p w14:paraId="3F773DD8"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C8C5312"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Any architecture that depends on future migrations, dual-stack cryptography with classical fallbacks, or post hoc remediation is considered insufficient for long-lived, high-value systems.</w:t>
      </w:r>
    </w:p>
    <w:p w14:paraId="0E5BBDF2" w14:textId="37E6D1BD" w:rsidR="00654111" w:rsidRDefault="00654111" w:rsidP="00654111">
      <w:pPr>
        <w:spacing w:after="0" w:line="288" w:lineRule="auto"/>
        <w:ind w:left="360"/>
        <w:rPr>
          <w:rFonts w:ascii="Inter" w:eastAsia="Times New Roman" w:hAnsi="Inter" w:cs="Times New Roman"/>
          <w:kern w:val="0"/>
          <w:sz w:val="20"/>
          <w:szCs w:val="20"/>
          <w14:ligatures w14:val="none"/>
        </w:rPr>
      </w:pPr>
    </w:p>
    <w:p w14:paraId="4E5295A2"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7092AFAC"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2.2 Deterministic Finality and Verifiability</w:t>
      </w:r>
    </w:p>
    <w:p w14:paraId="466A539E"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7816B115"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 xml:space="preserve">Synergy Network requires </w:t>
      </w:r>
      <w:r w:rsidRPr="00654111">
        <w:rPr>
          <w:rFonts w:ascii="Inter" w:eastAsia="Times New Roman" w:hAnsi="Inter" w:cs="Inter"/>
          <w:b/>
          <w:bCs/>
          <w:kern w:val="0"/>
          <w:sz w:val="20"/>
          <w:szCs w:val="20"/>
          <w14:ligatures w14:val="none"/>
        </w:rPr>
        <w:t>deterministic finality</w:t>
      </w:r>
      <w:r w:rsidRPr="00654111">
        <w:rPr>
          <w:rFonts w:ascii="Inter" w:eastAsia="Times New Roman" w:hAnsi="Inter" w:cs="Inter"/>
          <w:kern w:val="0"/>
          <w:sz w:val="20"/>
          <w:szCs w:val="20"/>
          <w14:ligatures w14:val="none"/>
        </w:rPr>
        <w:t xml:space="preserve"> as a core property. Once state is finalized, it must not be subject to probabilistic reorganization, discretionary reversal, or ambiguity regarding its validity.</w:t>
      </w:r>
    </w:p>
    <w:p w14:paraId="199466E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D3D1B9C"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Deterministic finality serves several purposes:</w:t>
      </w:r>
    </w:p>
    <w:p w14:paraId="5C59327F" w14:textId="77777777" w:rsidR="00654111" w:rsidRPr="00654111" w:rsidRDefault="00654111" w:rsidP="00654111">
      <w:pPr>
        <w:numPr>
          <w:ilvl w:val="0"/>
          <w:numId w:val="2"/>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It enables external systems and institutions to reason about state with certainty.</w:t>
      </w:r>
    </w:p>
    <w:p w14:paraId="64F31185" w14:textId="77777777" w:rsidR="00654111" w:rsidRPr="00654111" w:rsidRDefault="00654111" w:rsidP="00654111">
      <w:pPr>
        <w:numPr>
          <w:ilvl w:val="0"/>
          <w:numId w:val="2"/>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It simplifies cross-chain verification by providing unambiguous checkpoints.</w:t>
      </w:r>
    </w:p>
    <w:p w14:paraId="5BF3FDEC" w14:textId="77777777" w:rsidR="00654111" w:rsidRPr="00654111" w:rsidRDefault="00654111" w:rsidP="00654111">
      <w:pPr>
        <w:numPr>
          <w:ilvl w:val="0"/>
          <w:numId w:val="2"/>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It constrains governance power by preventing retroactive reinterpretation of history outside formally defined emergency procedures.</w:t>
      </w:r>
    </w:p>
    <w:p w14:paraId="3A612213"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3B64F67D"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 xml:space="preserve">In addition, all critical protocol actions—including consensus decisions, cross-chain attestations, and governance outcomes—must be </w:t>
      </w:r>
      <w:r w:rsidRPr="00654111">
        <w:rPr>
          <w:rFonts w:ascii="Inter" w:eastAsia="Times New Roman" w:hAnsi="Inter" w:cs="Inter"/>
          <w:b/>
          <w:bCs/>
          <w:kern w:val="0"/>
          <w:sz w:val="20"/>
          <w:szCs w:val="20"/>
          <w14:ligatures w14:val="none"/>
        </w:rPr>
        <w:t>independently verifiable</w:t>
      </w:r>
      <w:r w:rsidRPr="00654111">
        <w:rPr>
          <w:rFonts w:ascii="Inter" w:eastAsia="Times New Roman" w:hAnsi="Inter" w:cs="Inter"/>
          <w:kern w:val="0"/>
          <w:sz w:val="20"/>
          <w:szCs w:val="20"/>
          <w14:ligatures w14:val="none"/>
        </w:rPr>
        <w:t xml:space="preserve"> by any observer with access to public data. Trust is not placed in validators, relayers, or governance bodies as actors, but in verifiable processes and cryptographic evidence.</w:t>
      </w:r>
    </w:p>
    <w:p w14:paraId="2B50ED1B"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AA4FA8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Probabilistic correctness, subjective finality, or reliance on trusted third-party assertions are explicitly excluded from the design space.</w:t>
      </w:r>
    </w:p>
    <w:p w14:paraId="6F034B46" w14:textId="77777777" w:rsidR="00654111" w:rsidRDefault="00654111" w:rsidP="00654111">
      <w:pPr>
        <w:spacing w:after="0" w:line="288" w:lineRule="auto"/>
        <w:ind w:left="360"/>
        <w:rPr>
          <w:rFonts w:ascii="Inter" w:eastAsia="Times New Roman" w:hAnsi="Inter" w:cs="Times New Roman"/>
          <w:kern w:val="0"/>
          <w:sz w:val="20"/>
          <w:szCs w:val="20"/>
          <w14:ligatures w14:val="none"/>
        </w:rPr>
      </w:pPr>
    </w:p>
    <w:p w14:paraId="062BDF18" w14:textId="6C6BBE0E"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C1A4B39"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2.3 Elimination of Custodial Trust Assumptions</w:t>
      </w:r>
    </w:p>
    <w:p w14:paraId="77C4A9B0"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4EAEB8ED"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Custodial trust represents a structural weakness in decentralized systems. Whenever assets, authority, or validation power is concentrated behind privileged keys or entities, the system inherits single points of failure that are incompatible with long-term decentralization.</w:t>
      </w:r>
    </w:p>
    <w:p w14:paraId="1FF93CD5"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379F7DF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Synergy Network therefore adopts the elimination of custodial trust assumptions as a foundational goal. This applies not only to asset custody, but to protocol operations more broadly.</w:t>
      </w:r>
    </w:p>
    <w:p w14:paraId="7CB02440"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0C6B9BF2"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Concretely, this implies:</w:t>
      </w:r>
    </w:p>
    <w:p w14:paraId="174A4D96" w14:textId="77777777" w:rsidR="00654111" w:rsidRPr="00654111" w:rsidRDefault="00654111" w:rsidP="00654111">
      <w:pPr>
        <w:numPr>
          <w:ilvl w:val="0"/>
          <w:numId w:val="3"/>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Cross-chain interoperability must not rely on custodial bridges, wrapped assets, or privileged recovery agents.</w:t>
      </w:r>
    </w:p>
    <w:p w14:paraId="188F2F96" w14:textId="77777777" w:rsidR="00654111" w:rsidRPr="00654111" w:rsidRDefault="00654111" w:rsidP="00654111">
      <w:pPr>
        <w:numPr>
          <w:ilvl w:val="0"/>
          <w:numId w:val="3"/>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No single party or small group may unilaterally authorize state transitions across chains.</w:t>
      </w:r>
    </w:p>
    <w:p w14:paraId="48215AE5" w14:textId="77777777" w:rsidR="00654111" w:rsidRPr="00654111" w:rsidRDefault="00654111" w:rsidP="00654111">
      <w:pPr>
        <w:numPr>
          <w:ilvl w:val="0"/>
          <w:numId w:val="3"/>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Recovery and emergency mechanisms must be collectively governed, cryptographically constrained, and auditable.</w:t>
      </w:r>
    </w:p>
    <w:p w14:paraId="42A8CF05"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11AC5C3"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lastRenderedPageBreak/>
        <w:t>Where trust minimization cannot be absolute, it must be explicit, bounded, and subject to formal governance controls. Implicit trust assumptions are treated as design failures.</w:t>
      </w:r>
    </w:p>
    <w:p w14:paraId="5B21A69A" w14:textId="7C670210" w:rsidR="00654111" w:rsidRDefault="00654111" w:rsidP="00654111">
      <w:pPr>
        <w:spacing w:after="0" w:line="288" w:lineRule="auto"/>
        <w:ind w:left="360"/>
        <w:rPr>
          <w:rFonts w:ascii="Inter" w:eastAsia="Times New Roman" w:hAnsi="Inter" w:cs="Times New Roman"/>
          <w:kern w:val="0"/>
          <w:sz w:val="20"/>
          <w:szCs w:val="20"/>
          <w14:ligatures w14:val="none"/>
        </w:rPr>
      </w:pPr>
    </w:p>
    <w:p w14:paraId="6FD94E8F"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350136D7"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2.4 Cooperative Economics Over Competitive Extraction</w:t>
      </w:r>
    </w:p>
    <w:p w14:paraId="0AA1A83B"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76BF95E7"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Many blockchain systems rely on competitive incentive structures that reward adversarial behavior, such as frontrunning, validator cartel formation, and short-term extraction at the expense of long-term system health. While such mechanisms may increase individual profitability, they degrade network resilience and social legitimacy over time.</w:t>
      </w:r>
    </w:p>
    <w:p w14:paraId="2EE6C125"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58C767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 xml:space="preserve">Synergy Network adopts </w:t>
      </w:r>
      <w:r w:rsidRPr="00654111">
        <w:rPr>
          <w:rFonts w:ascii="Inter" w:eastAsia="Times New Roman" w:hAnsi="Inter" w:cs="Inter"/>
          <w:b/>
          <w:bCs/>
          <w:kern w:val="0"/>
          <w:sz w:val="20"/>
          <w:szCs w:val="20"/>
          <w14:ligatures w14:val="none"/>
        </w:rPr>
        <w:t>cooperative economics</w:t>
      </w:r>
      <w:r w:rsidRPr="00654111">
        <w:rPr>
          <w:rFonts w:ascii="Inter" w:eastAsia="Times New Roman" w:hAnsi="Inter" w:cs="Inter"/>
          <w:kern w:val="0"/>
          <w:sz w:val="20"/>
          <w:szCs w:val="20"/>
          <w14:ligatures w14:val="none"/>
        </w:rPr>
        <w:t xml:space="preserve"> as a guiding principle. Validators are incentivized to contribute to collective outcomes—availability, correctness, uptime, and governance participation—rather than compete for isolated advantage.</w:t>
      </w:r>
    </w:p>
    <w:p w14:paraId="58A8AA43"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998A4AE"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This principle shapes:</w:t>
      </w:r>
    </w:p>
    <w:p w14:paraId="4FF286F8" w14:textId="77777777" w:rsidR="00654111" w:rsidRPr="00654111" w:rsidRDefault="00654111" w:rsidP="00654111">
      <w:pPr>
        <w:numPr>
          <w:ilvl w:val="0"/>
          <w:numId w:val="4"/>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How validator influence is measured and adjusted over time.</w:t>
      </w:r>
    </w:p>
    <w:p w14:paraId="2630B72E" w14:textId="77777777" w:rsidR="00654111" w:rsidRPr="00654111" w:rsidRDefault="00654111" w:rsidP="00654111">
      <w:pPr>
        <w:numPr>
          <w:ilvl w:val="0"/>
          <w:numId w:val="4"/>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How rewards are distributed relative to behavior, not merely capital.</w:t>
      </w:r>
    </w:p>
    <w:p w14:paraId="35F02672" w14:textId="77777777" w:rsidR="00654111" w:rsidRPr="00654111" w:rsidRDefault="00654111" w:rsidP="00654111">
      <w:pPr>
        <w:numPr>
          <w:ilvl w:val="0"/>
          <w:numId w:val="4"/>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How governance participation is valued and enforced.</w:t>
      </w:r>
    </w:p>
    <w:p w14:paraId="58FFA8DF"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2FE5B7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Competition is not eliminated entirely, but it is subordinated to cooperation. The protocol is designed to reward behaviors that improve the network as a whole, even when those behaviors are individually suboptimal in the short term.</w:t>
      </w:r>
    </w:p>
    <w:p w14:paraId="58EBCCF0" w14:textId="77777777" w:rsidR="00654111" w:rsidRDefault="00654111" w:rsidP="00654111">
      <w:pPr>
        <w:spacing w:after="0" w:line="288" w:lineRule="auto"/>
        <w:ind w:left="360"/>
        <w:rPr>
          <w:rFonts w:ascii="Inter" w:eastAsia="Times New Roman" w:hAnsi="Inter" w:cs="Times New Roman"/>
          <w:kern w:val="0"/>
          <w:sz w:val="20"/>
          <w:szCs w:val="20"/>
          <w14:ligatures w14:val="none"/>
        </w:rPr>
      </w:pPr>
    </w:p>
    <w:p w14:paraId="53079FA6" w14:textId="6921F916"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66847EB7" w14:textId="77777777" w:rsidR="00654111" w:rsidRPr="00654111" w:rsidRDefault="00654111" w:rsidP="00654111">
      <w:pPr>
        <w:ind w:left="360"/>
        <w:outlineLvl w:val="2"/>
        <w:rPr>
          <w:rFonts w:ascii="Inter" w:eastAsia="Times New Roman" w:hAnsi="Inter" w:cs="Times New Roman"/>
          <w:b/>
          <w:bCs/>
          <w:kern w:val="0"/>
          <w:sz w:val="21"/>
          <w:szCs w:val="21"/>
          <w14:ligatures w14:val="none"/>
        </w:rPr>
        <w:spacing w:before="240" w:after="80"/>
      </w:pPr>
      <w:r w:rsidRPr="00654111">
        <w:rPr>
          <w:rFonts w:ascii="Arial" w:eastAsia="Times New Roman" w:hAnsi="Arial" w:cs="Arial"/>
          <w:b/>
          <w:bCs/>
          <w:kern w:val="0"/>
          <w:sz w:val="22"/>
          <w:szCs w:val="21"/>
          <w14:ligatures w14:val="none"/>
          <w:color w:val="6B35BF"/>
        </w:rPr>
        <w:t>2.5 Formal Safety, Liveness, and Governance Guarantees</w:t>
      </w:r>
    </w:p>
    <w:p w14:paraId="03FE2367"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47A0CFA1"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Synergy Network treats correctness as a property that must be reasoned about explicitly, not inferred empirically. Core protocol mechanisms are designed to admit formal analysis of safety and liveness under stated assumptions.</w:t>
      </w:r>
    </w:p>
    <w:p w14:paraId="7F4A2994"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B2A07A7"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This commitment extends beyond consensus to include:</w:t>
      </w:r>
    </w:p>
    <w:p w14:paraId="7674794A" w14:textId="77777777" w:rsidR="00654111" w:rsidRPr="00654111" w:rsidRDefault="00654111" w:rsidP="00654111">
      <w:pPr>
        <w:numPr>
          <w:ilvl w:val="0"/>
          <w:numId w:val="5"/>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Cross-chain verification and state propagation.</w:t>
      </w:r>
    </w:p>
    <w:p w14:paraId="6D5E141A" w14:textId="77777777" w:rsidR="00654111" w:rsidRPr="00654111" w:rsidRDefault="00654111" w:rsidP="00654111">
      <w:pPr>
        <w:numPr>
          <w:ilvl w:val="0"/>
          <w:numId w:val="5"/>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Cryptographic key management and randomness generation.</w:t>
      </w:r>
    </w:p>
    <w:p w14:paraId="4D360BD3" w14:textId="77777777" w:rsidR="00654111" w:rsidRPr="00654111" w:rsidRDefault="00654111" w:rsidP="00654111">
      <w:pPr>
        <w:numPr>
          <w:ilvl w:val="0"/>
          <w:numId w:val="5"/>
        </w:numPr>
        <w:tabs>
          <w:tab w:val="clear" w:pos="720"/>
        </w:tabs>
        <w:spacing w:after="0" w:line="288" w:lineRule="auto"/>
        <w:ind w:left="900" w:hanging="18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Governance procedures and emergency interventions.</w:t>
      </w:r>
    </w:p>
    <w:p w14:paraId="2D708A8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517F0D99"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Governance, in particular, is constrained by formal processes rather than discretionary authority. While exceptional actions may be necessary under extreme circumstances, they must occur within a framework that is transparent, auditable, and resistant to abuse.</w:t>
      </w:r>
    </w:p>
    <w:p w14:paraId="12397509"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414B9490" w14:textId="77777777" w:rsidR="00654111" w:rsidRDefault="00654111" w:rsidP="00654111">
      <w:pPr>
        <w:spacing w:after="0" w:line="288" w:lineRule="auto"/>
        <w:ind w:left="360"/>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Informal assurances, social consensus alone, or reliance on benevolent actors are not considered sufficient guarantees for infrastructure intended to secure long-lived digital assets and institutional trust.</w:t>
      </w:r>
    </w:p>
    <w:p w14:paraId="125B97C6" w14:textId="77777777" w:rsidR="00654111" w:rsidRPr="00654111" w:rsidRDefault="00654111" w:rsidP="00654111">
      <w:pPr>
        <w:spacing w:after="0" w:line="288" w:lineRule="auto"/>
        <w:ind w:left="360"/>
        <w:rPr>
          <w:rFonts w:ascii="Inter" w:eastAsia="Times New Roman" w:hAnsi="Inter" w:cs="Times New Roman"/>
          <w:kern w:val="0"/>
          <w:sz w:val="20"/>
          <w:szCs w:val="20"/>
          <w14:ligatures w14:val="none"/>
        </w:rPr>
      </w:pPr>
    </w:p>
    <w:p w14:paraId="2F976F36" w14:textId="77777777" w:rsidR="00654111" w:rsidRPr="00654111" w:rsidRDefault="00654111" w:rsidP="00654111">
      <w:pPr>
        <w:spacing w:after="0" w:line="288" w:lineRule="auto"/>
        <w:rPr>
          <w:rFonts w:ascii="Inter" w:eastAsia="Times New Roman" w:hAnsi="Inter" w:cs="Times New Roman"/>
          <w:kern w:val="0"/>
          <w:sz w:val="20"/>
          <w:szCs w:val="20"/>
          <w14:ligatures w14:val="none"/>
        </w:rPr>
      </w:pPr>
      <w:r w:rsidRPr="00654111">
        <w:rPr>
          <w:rFonts w:ascii="Inter" w:eastAsia="Times New Roman" w:hAnsi="Inter" w:cs="Inter"/>
          <w:kern w:val="0"/>
          <w:sz w:val="20"/>
          <w:szCs w:val="20"/>
          <w14:ligatures w14:val="none"/>
        </w:rPr>
        <w:t>With these design goals established, the document now turns to the concrete architecture of the Synergy Network. The following section introduces the system-level structure and explains how consensus, cryptography, interoperability, and execution are composed into a unified protocol.</w:t>
      </w:r>
    </w:p>
    <w:p w14:paraId="4107FCB5" w14:textId="77777777" w:rsidR="00654111" w:rsidRPr="00654111" w:rsidRDefault="00654111" w:rsidP="00654111">
      <w:pPr>
        <w:spacing w:after="0" w:line="288" w:lineRule="auto"/>
        <w:rPr>
          <w:rFonts w:ascii="Inter" w:hAnsi="Inter"/>
          <w:sz w:val="15"/>
          <w:szCs w:val="15"/>
        </w:rPr>
      </w:pPr>
    </w:p>
    <w:p w14:paraId="248430C8" w14:textId="77777777" w:rsidR="00654111" w:rsidRPr="00654111" w:rsidRDefault="00654111" w:rsidP="00654111">
      <w:pPr>
        <w:spacing w:after="0" w:line="240" w:lineRule="auto"/>
        <w:rPr>
          <w:rFonts w:ascii="Inter" w:hAnsi="Inter"/>
          <w:sz w:val="15"/>
          <w:szCs w:val="15"/>
        </w:rPr>
      </w:pPr>
    </w:p>
    <w:sectPr w:rsidR="00654111" w:rsidRPr="00654111"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Context, Motivation, and Design Philosophy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1"/>
  </w:num>
  <w:num w:numId="2" w16cid:durableId="2003965240">
    <w:abstractNumId w:val="0"/>
  </w:num>
  <w:num w:numId="3" w16cid:durableId="1346790758">
    <w:abstractNumId w:val="3"/>
  </w:num>
  <w:num w:numId="4" w16cid:durableId="1415391682">
    <w:abstractNumId w:val="4"/>
  </w:num>
  <w:num w:numId="5" w16cid:durableId="915633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31C73"/>
    <w:rsid w:val="0065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1752</Words>
  <Characters>11744</Characters>
  <Application>Microsoft Office Word</Application>
  <DocSecurity>0</DocSecurity>
  <Lines>559</Lines>
  <Paragraphs>449</Paragraphs>
  <ScaleCrop>false</ScaleCrop>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1</cp:revision>
  <dcterms:created xsi:type="dcterms:W3CDTF">2025-12-28T12:31:00Z</dcterms:created>
  <dcterms:modified xsi:type="dcterms:W3CDTF">2025-12-28T13:32:00Z</dcterms:modified>
</cp:coreProperties>
</file>