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CB8FD" w14:textId="77777777" w:rsidR="001E267E" w:rsidRDefault="001E267E" w:rsidP="001E267E">
      <w:pPr>
        <w:rPr>
          <w:b/>
          <w:bCs/>
        </w:rPr>
      </w:pPr>
      <w:r w:rsidRPr="001E267E">
        <w:rPr>
          <w:b/>
          <w:bCs/>
        </w:rPr>
        <w:t>Business Model Document: Synergy Network</w:t>
      </w:r>
    </w:p>
    <w:p w14:paraId="0C2EF7E3" w14:textId="77777777" w:rsidR="001E267E" w:rsidRPr="001E267E" w:rsidRDefault="001E267E" w:rsidP="001E267E"/>
    <w:p w14:paraId="689198E6" w14:textId="77777777" w:rsidR="001E267E" w:rsidRPr="001E267E" w:rsidRDefault="001E267E" w:rsidP="001E267E">
      <w:pPr>
        <w:rPr>
          <w:b/>
          <w:bCs/>
        </w:rPr>
      </w:pPr>
      <w:r w:rsidRPr="001E267E">
        <w:rPr>
          <w:b/>
          <w:bCs/>
        </w:rPr>
        <w:t>1. Introduction</w:t>
      </w:r>
    </w:p>
    <w:p w14:paraId="34A3AB56" w14:textId="77777777" w:rsidR="001E267E" w:rsidRPr="001E267E" w:rsidRDefault="001E267E" w:rsidP="001E267E">
      <w:r w:rsidRPr="001E267E">
        <w:t>The purpose of this document is to outline the sustainability strategy and revenue model for the Synergy Network, leveraging its innovative Proof of Synergy (PoSy) consensus mechanism and the Synergy Token (SYN). This model ensures long-term economic viability through well-structured staking rewards, transaction fees, and a treasury system dedicated to continuous development and scalability.</w:t>
      </w:r>
    </w:p>
    <w:p w14:paraId="7026DDE0" w14:textId="77777777" w:rsidR="001E267E" w:rsidRDefault="001E267E" w:rsidP="001E267E">
      <w:pPr>
        <w:rPr>
          <w:b/>
          <w:bCs/>
        </w:rPr>
      </w:pPr>
    </w:p>
    <w:p w14:paraId="05F0DEC8" w14:textId="00E8703F" w:rsidR="001E267E" w:rsidRPr="001E267E" w:rsidRDefault="001E267E" w:rsidP="001E267E">
      <w:pPr>
        <w:rPr>
          <w:b/>
          <w:bCs/>
        </w:rPr>
      </w:pPr>
      <w:r w:rsidRPr="001E267E">
        <w:rPr>
          <w:b/>
          <w:bCs/>
        </w:rPr>
        <w:t>2. Revenue Model</w:t>
      </w:r>
    </w:p>
    <w:p w14:paraId="066B86A0" w14:textId="77777777" w:rsidR="001E267E" w:rsidRDefault="001E267E" w:rsidP="001E267E">
      <w:pPr>
        <w:rPr>
          <w:b/>
          <w:bCs/>
        </w:rPr>
      </w:pPr>
    </w:p>
    <w:p w14:paraId="049F5EA6" w14:textId="1E1AD509" w:rsidR="001E267E" w:rsidRPr="001E267E" w:rsidRDefault="001E267E" w:rsidP="001E267E">
      <w:pPr>
        <w:rPr>
          <w:b/>
          <w:bCs/>
        </w:rPr>
      </w:pPr>
      <w:r w:rsidRPr="001E267E">
        <w:rPr>
          <w:b/>
          <w:bCs/>
        </w:rPr>
        <w:t>2.1 Transaction Fees</w:t>
      </w:r>
    </w:p>
    <w:p w14:paraId="70FEBE6C" w14:textId="77777777" w:rsidR="001E267E" w:rsidRPr="001E267E" w:rsidRDefault="001E267E" w:rsidP="001E267E">
      <w:r w:rsidRPr="001E267E">
        <w:t>Synergy Network imposes a structured transaction fee model that ensures network sustainability while maintaining affordability for users. Transaction fees include:</w:t>
      </w:r>
    </w:p>
    <w:p w14:paraId="77DC374F" w14:textId="77777777" w:rsidR="001E267E" w:rsidRPr="001E267E" w:rsidRDefault="001E267E" w:rsidP="001E267E">
      <w:pPr>
        <w:numPr>
          <w:ilvl w:val="0"/>
          <w:numId w:val="1"/>
        </w:numPr>
      </w:pPr>
      <w:r w:rsidRPr="001E267E">
        <w:rPr>
          <w:b/>
          <w:bCs/>
        </w:rPr>
        <w:t>Standard Transactions</w:t>
      </w:r>
      <w:r w:rsidRPr="001E267E">
        <w:t>: A minimal SYN fee is charged to facilitate peer-to-peer transactions.</w:t>
      </w:r>
    </w:p>
    <w:p w14:paraId="5642B820" w14:textId="77777777" w:rsidR="001E267E" w:rsidRPr="001E267E" w:rsidRDefault="001E267E" w:rsidP="001E267E">
      <w:pPr>
        <w:numPr>
          <w:ilvl w:val="0"/>
          <w:numId w:val="1"/>
        </w:numPr>
      </w:pPr>
      <w:r w:rsidRPr="001E267E">
        <w:rPr>
          <w:b/>
          <w:bCs/>
        </w:rPr>
        <w:t>Smart Contract Execution</w:t>
      </w:r>
      <w:r w:rsidRPr="001E267E">
        <w:t>: Additional fees apply based on computational complexity.</w:t>
      </w:r>
    </w:p>
    <w:p w14:paraId="589E8927" w14:textId="77777777" w:rsidR="001E267E" w:rsidRPr="001E267E" w:rsidRDefault="001E267E" w:rsidP="001E267E">
      <w:pPr>
        <w:numPr>
          <w:ilvl w:val="0"/>
          <w:numId w:val="1"/>
        </w:numPr>
      </w:pPr>
      <w:r w:rsidRPr="001E267E">
        <w:rPr>
          <w:b/>
          <w:bCs/>
        </w:rPr>
        <w:t>Cross-Chain Asset Transfers</w:t>
      </w:r>
      <w:r w:rsidRPr="001E267E">
        <w:t>: Fees vary based on transaction size and network congestion.</w:t>
      </w:r>
    </w:p>
    <w:p w14:paraId="55007BBA" w14:textId="77777777" w:rsidR="001E267E" w:rsidRPr="001E267E" w:rsidRDefault="001E267E" w:rsidP="001E267E">
      <w:pPr>
        <w:numPr>
          <w:ilvl w:val="0"/>
          <w:numId w:val="1"/>
        </w:numPr>
      </w:pPr>
      <w:r w:rsidRPr="001E267E">
        <w:rPr>
          <w:b/>
          <w:bCs/>
        </w:rPr>
        <w:t>Dynamic Fee Adjustments</w:t>
      </w:r>
      <w:r w:rsidRPr="001E267E">
        <w:t>: The fee structure dynamically adjusts based on network activity to balance usability and deflationary pressure.</w:t>
      </w:r>
    </w:p>
    <w:p w14:paraId="0E977141" w14:textId="77777777" w:rsidR="001E267E" w:rsidRPr="001E267E" w:rsidRDefault="001E267E" w:rsidP="001E267E">
      <w:r w:rsidRPr="001E267E">
        <w:t xml:space="preserve">A portion of transaction fees </w:t>
      </w:r>
      <w:proofErr w:type="gramStart"/>
      <w:r w:rsidRPr="001E267E">
        <w:t>is</w:t>
      </w:r>
      <w:proofErr w:type="gramEnd"/>
      <w:r w:rsidRPr="001E267E">
        <w:t xml:space="preserve"> permanently burned to reduce the circulating supply of SYN, creating a deflationary effect.</w:t>
      </w:r>
    </w:p>
    <w:p w14:paraId="50060E8A" w14:textId="77777777" w:rsidR="001E267E" w:rsidRDefault="001E267E" w:rsidP="001E267E">
      <w:pPr>
        <w:rPr>
          <w:b/>
          <w:bCs/>
        </w:rPr>
      </w:pPr>
    </w:p>
    <w:p w14:paraId="62E0868E" w14:textId="66185F1F" w:rsidR="001E267E" w:rsidRPr="001E267E" w:rsidRDefault="001E267E" w:rsidP="001E267E">
      <w:pPr>
        <w:rPr>
          <w:b/>
          <w:bCs/>
        </w:rPr>
      </w:pPr>
      <w:r w:rsidRPr="001E267E">
        <w:rPr>
          <w:b/>
          <w:bCs/>
        </w:rPr>
        <w:t>2.2 Staking and Rewards</w:t>
      </w:r>
    </w:p>
    <w:p w14:paraId="5A96DB6A" w14:textId="77777777" w:rsidR="001E267E" w:rsidRPr="001E267E" w:rsidRDefault="001E267E" w:rsidP="001E267E">
      <w:r w:rsidRPr="001E267E">
        <w:t>Validators and network participants can stake SYN to earn rewards and contribute to network security.</w:t>
      </w:r>
    </w:p>
    <w:p w14:paraId="686C4593" w14:textId="77777777" w:rsidR="001E267E" w:rsidRPr="001E267E" w:rsidRDefault="001E267E" w:rsidP="001E267E">
      <w:pPr>
        <w:numPr>
          <w:ilvl w:val="0"/>
          <w:numId w:val="2"/>
        </w:numPr>
      </w:pPr>
      <w:r w:rsidRPr="001E267E">
        <w:rPr>
          <w:b/>
          <w:bCs/>
        </w:rPr>
        <w:t>Staking Tiers</w:t>
      </w:r>
      <w:r w:rsidRPr="001E267E">
        <w:t>: Different staking levels with varying rewards based on Synergy Points (SP), calculated through contribution quality, uptime, and network participation.</w:t>
      </w:r>
    </w:p>
    <w:p w14:paraId="1CB610F7" w14:textId="77777777" w:rsidR="001E267E" w:rsidRPr="001E267E" w:rsidRDefault="001E267E" w:rsidP="001E267E">
      <w:pPr>
        <w:numPr>
          <w:ilvl w:val="0"/>
          <w:numId w:val="2"/>
        </w:numPr>
      </w:pPr>
      <w:r w:rsidRPr="001E267E">
        <w:rPr>
          <w:b/>
          <w:bCs/>
        </w:rPr>
        <w:lastRenderedPageBreak/>
        <w:t>Validator Rewards</w:t>
      </w:r>
      <w:r w:rsidRPr="001E267E">
        <w:t>: Validators receive SYN for securing the network and validating transactions.</w:t>
      </w:r>
    </w:p>
    <w:p w14:paraId="0FB5912D" w14:textId="77777777" w:rsidR="001E267E" w:rsidRPr="001E267E" w:rsidRDefault="001E267E" w:rsidP="001E267E">
      <w:pPr>
        <w:numPr>
          <w:ilvl w:val="0"/>
          <w:numId w:val="2"/>
        </w:numPr>
      </w:pPr>
      <w:r w:rsidRPr="001E267E">
        <w:rPr>
          <w:b/>
          <w:bCs/>
        </w:rPr>
        <w:t>Performance Bonuses</w:t>
      </w:r>
      <w:r w:rsidRPr="001E267E">
        <w:t>: Additional incentives for validators who contribute efficiently to network health and task execution.</w:t>
      </w:r>
    </w:p>
    <w:p w14:paraId="2F280F24" w14:textId="77777777" w:rsidR="001E267E" w:rsidRDefault="001E267E" w:rsidP="001E267E">
      <w:pPr>
        <w:rPr>
          <w:b/>
          <w:bCs/>
        </w:rPr>
      </w:pPr>
    </w:p>
    <w:p w14:paraId="438F1CBA" w14:textId="13689BA7" w:rsidR="001E267E" w:rsidRPr="001E267E" w:rsidRDefault="001E267E" w:rsidP="001E267E">
      <w:pPr>
        <w:rPr>
          <w:b/>
          <w:bCs/>
        </w:rPr>
      </w:pPr>
      <w:r w:rsidRPr="001E267E">
        <w:rPr>
          <w:b/>
          <w:bCs/>
        </w:rPr>
        <w:t>2.3 Treasury System</w:t>
      </w:r>
    </w:p>
    <w:p w14:paraId="644DD9F2" w14:textId="77777777" w:rsidR="001E267E" w:rsidRPr="001E267E" w:rsidRDefault="001E267E" w:rsidP="001E267E">
      <w:r w:rsidRPr="001E267E">
        <w:t>A decentralized treasury system ensures long-term sustainability and innovation.</w:t>
      </w:r>
    </w:p>
    <w:p w14:paraId="19AEF29B" w14:textId="77777777" w:rsidR="001E267E" w:rsidRPr="001E267E" w:rsidRDefault="001E267E" w:rsidP="001E267E">
      <w:pPr>
        <w:numPr>
          <w:ilvl w:val="0"/>
          <w:numId w:val="3"/>
        </w:numPr>
      </w:pPr>
      <w:r w:rsidRPr="001E267E">
        <w:rPr>
          <w:b/>
          <w:bCs/>
        </w:rPr>
        <w:t>Funding Allocations</w:t>
      </w:r>
      <w:r w:rsidRPr="001E267E">
        <w:t xml:space="preserve">: </w:t>
      </w:r>
    </w:p>
    <w:p w14:paraId="679DE80B" w14:textId="77777777" w:rsidR="001E267E" w:rsidRPr="001E267E" w:rsidRDefault="001E267E" w:rsidP="001E267E">
      <w:pPr>
        <w:numPr>
          <w:ilvl w:val="1"/>
          <w:numId w:val="3"/>
        </w:numPr>
      </w:pPr>
      <w:r w:rsidRPr="001E267E">
        <w:rPr>
          <w:b/>
          <w:bCs/>
        </w:rPr>
        <w:t>50%</w:t>
      </w:r>
      <w:r w:rsidRPr="001E267E">
        <w:t>: Network development and ecosystem expansion.</w:t>
      </w:r>
    </w:p>
    <w:p w14:paraId="2FDBCFA1" w14:textId="77777777" w:rsidR="001E267E" w:rsidRPr="001E267E" w:rsidRDefault="001E267E" w:rsidP="001E267E">
      <w:pPr>
        <w:numPr>
          <w:ilvl w:val="1"/>
          <w:numId w:val="3"/>
        </w:numPr>
      </w:pPr>
      <w:r w:rsidRPr="001E267E">
        <w:rPr>
          <w:b/>
          <w:bCs/>
        </w:rPr>
        <w:t>30%</w:t>
      </w:r>
      <w:r w:rsidRPr="001E267E">
        <w:t>: Staking rewards and validator incentives.</w:t>
      </w:r>
    </w:p>
    <w:p w14:paraId="1EB920F7" w14:textId="77777777" w:rsidR="001E267E" w:rsidRPr="001E267E" w:rsidRDefault="001E267E" w:rsidP="001E267E">
      <w:pPr>
        <w:numPr>
          <w:ilvl w:val="1"/>
          <w:numId w:val="3"/>
        </w:numPr>
      </w:pPr>
      <w:r w:rsidRPr="001E267E">
        <w:rPr>
          <w:b/>
          <w:bCs/>
        </w:rPr>
        <w:t>10%</w:t>
      </w:r>
      <w:r w:rsidRPr="001E267E">
        <w:t>: Community and governance proposals.</w:t>
      </w:r>
    </w:p>
    <w:p w14:paraId="3F327687" w14:textId="77777777" w:rsidR="001E267E" w:rsidRPr="001E267E" w:rsidRDefault="001E267E" w:rsidP="001E267E">
      <w:pPr>
        <w:numPr>
          <w:ilvl w:val="1"/>
          <w:numId w:val="3"/>
        </w:numPr>
      </w:pPr>
      <w:r w:rsidRPr="001E267E">
        <w:rPr>
          <w:b/>
          <w:bCs/>
        </w:rPr>
        <w:t>10%</w:t>
      </w:r>
      <w:r w:rsidRPr="001E267E">
        <w:t>: Emergency reserve fund.</w:t>
      </w:r>
    </w:p>
    <w:p w14:paraId="0DF9E7DF" w14:textId="77777777" w:rsidR="001E267E" w:rsidRPr="001E267E" w:rsidRDefault="001E267E" w:rsidP="001E267E">
      <w:pPr>
        <w:numPr>
          <w:ilvl w:val="0"/>
          <w:numId w:val="3"/>
        </w:numPr>
      </w:pPr>
      <w:r w:rsidRPr="001E267E">
        <w:rPr>
          <w:b/>
          <w:bCs/>
        </w:rPr>
        <w:t>Governance-Controlled Treasury</w:t>
      </w:r>
      <w:r w:rsidRPr="001E267E">
        <w:t>: Token holders participate in governance to propose and approve fund allocations.</w:t>
      </w:r>
    </w:p>
    <w:p w14:paraId="6CA0232D" w14:textId="77777777" w:rsidR="001E267E" w:rsidRDefault="001E267E" w:rsidP="001E267E">
      <w:pPr>
        <w:rPr>
          <w:b/>
          <w:bCs/>
        </w:rPr>
      </w:pPr>
    </w:p>
    <w:p w14:paraId="47410CC9" w14:textId="2ED997C5" w:rsidR="001E267E" w:rsidRPr="001E267E" w:rsidRDefault="001E267E" w:rsidP="001E267E">
      <w:pPr>
        <w:rPr>
          <w:b/>
          <w:bCs/>
        </w:rPr>
      </w:pPr>
      <w:r w:rsidRPr="001E267E">
        <w:rPr>
          <w:b/>
          <w:bCs/>
        </w:rPr>
        <w:t>3. Token Utility</w:t>
      </w:r>
    </w:p>
    <w:p w14:paraId="7D14F66C" w14:textId="77777777" w:rsidR="001E267E" w:rsidRDefault="001E267E" w:rsidP="001E267E">
      <w:pPr>
        <w:rPr>
          <w:b/>
          <w:bCs/>
        </w:rPr>
      </w:pPr>
    </w:p>
    <w:p w14:paraId="25944C65" w14:textId="5672618B" w:rsidR="001E267E" w:rsidRPr="001E267E" w:rsidRDefault="001E267E" w:rsidP="001E267E">
      <w:pPr>
        <w:rPr>
          <w:b/>
          <w:bCs/>
        </w:rPr>
      </w:pPr>
      <w:r w:rsidRPr="001E267E">
        <w:rPr>
          <w:b/>
          <w:bCs/>
        </w:rPr>
        <w:t>3.1 Use Cases of Synergy Token (SYN)</w:t>
      </w:r>
    </w:p>
    <w:p w14:paraId="45437C35" w14:textId="77777777" w:rsidR="001E267E" w:rsidRPr="001E267E" w:rsidRDefault="001E267E" w:rsidP="001E267E">
      <w:r w:rsidRPr="001E267E">
        <w:t>SYN is central to the Synergy Network, providing:</w:t>
      </w:r>
    </w:p>
    <w:p w14:paraId="4900DBF7" w14:textId="77777777" w:rsidR="001E267E" w:rsidRPr="001E267E" w:rsidRDefault="001E267E" w:rsidP="001E267E">
      <w:pPr>
        <w:numPr>
          <w:ilvl w:val="0"/>
          <w:numId w:val="4"/>
        </w:numPr>
      </w:pPr>
      <w:r w:rsidRPr="001E267E">
        <w:rPr>
          <w:b/>
          <w:bCs/>
        </w:rPr>
        <w:t>Medium of Exchange</w:t>
      </w:r>
      <w:r w:rsidRPr="001E267E">
        <w:t>: Used for payments and services within the ecosystem.</w:t>
      </w:r>
    </w:p>
    <w:p w14:paraId="41035CFC" w14:textId="77777777" w:rsidR="001E267E" w:rsidRPr="001E267E" w:rsidRDefault="001E267E" w:rsidP="001E267E">
      <w:pPr>
        <w:numPr>
          <w:ilvl w:val="0"/>
          <w:numId w:val="4"/>
        </w:numPr>
      </w:pPr>
      <w:r w:rsidRPr="001E267E">
        <w:rPr>
          <w:b/>
          <w:bCs/>
        </w:rPr>
        <w:t>Staking and Governance</w:t>
      </w:r>
      <w:r w:rsidRPr="001E267E">
        <w:t>: Allows participation in decision-making processes.</w:t>
      </w:r>
    </w:p>
    <w:p w14:paraId="3913099D" w14:textId="77777777" w:rsidR="001E267E" w:rsidRPr="001E267E" w:rsidRDefault="001E267E" w:rsidP="001E267E">
      <w:pPr>
        <w:numPr>
          <w:ilvl w:val="0"/>
          <w:numId w:val="4"/>
        </w:numPr>
      </w:pPr>
      <w:r w:rsidRPr="001E267E">
        <w:rPr>
          <w:b/>
          <w:bCs/>
        </w:rPr>
        <w:t>Smart Contract Execution</w:t>
      </w:r>
      <w:r w:rsidRPr="001E267E">
        <w:t>: Required for deploying and interacting with decentralized applications.</w:t>
      </w:r>
    </w:p>
    <w:p w14:paraId="2A648C40" w14:textId="77777777" w:rsidR="001E267E" w:rsidRPr="001E267E" w:rsidRDefault="001E267E" w:rsidP="001E267E">
      <w:pPr>
        <w:numPr>
          <w:ilvl w:val="0"/>
          <w:numId w:val="4"/>
        </w:numPr>
      </w:pPr>
      <w:r w:rsidRPr="001E267E">
        <w:rPr>
          <w:b/>
          <w:bCs/>
        </w:rPr>
        <w:t>Cross-Chain Transactions</w:t>
      </w:r>
      <w:r w:rsidRPr="001E267E">
        <w:t>: Enables seamless asset transfers between networks.</w:t>
      </w:r>
    </w:p>
    <w:p w14:paraId="00DF095F" w14:textId="77777777" w:rsidR="001E267E" w:rsidRDefault="001E267E" w:rsidP="001E267E">
      <w:pPr>
        <w:rPr>
          <w:b/>
          <w:bCs/>
        </w:rPr>
      </w:pPr>
    </w:p>
    <w:p w14:paraId="6E654046" w14:textId="283E80C7" w:rsidR="001E267E" w:rsidRPr="001E267E" w:rsidRDefault="001E267E" w:rsidP="001E267E">
      <w:pPr>
        <w:rPr>
          <w:b/>
          <w:bCs/>
        </w:rPr>
      </w:pPr>
      <w:r w:rsidRPr="001E267E">
        <w:rPr>
          <w:b/>
          <w:bCs/>
        </w:rPr>
        <w:t>3.2 Synergy Points Integration</w:t>
      </w:r>
    </w:p>
    <w:p w14:paraId="3D5FB324" w14:textId="77777777" w:rsidR="001E267E" w:rsidRPr="001E267E" w:rsidRDefault="001E267E" w:rsidP="001E267E">
      <w:r w:rsidRPr="001E267E">
        <w:t>The Synergy Points system ensures fair reward distribution by evaluating contributions based on task complexity, efficiency, and uptime.</w:t>
      </w:r>
    </w:p>
    <w:p w14:paraId="0061604F" w14:textId="77777777" w:rsidR="001E267E" w:rsidRDefault="001E267E" w:rsidP="001E267E">
      <w:pPr>
        <w:rPr>
          <w:b/>
          <w:bCs/>
        </w:rPr>
      </w:pPr>
    </w:p>
    <w:p w14:paraId="1B6853B5" w14:textId="07772209" w:rsidR="001E267E" w:rsidRPr="001E267E" w:rsidRDefault="001E267E" w:rsidP="001E267E">
      <w:pPr>
        <w:rPr>
          <w:b/>
          <w:bCs/>
        </w:rPr>
      </w:pPr>
      <w:r w:rsidRPr="001E267E">
        <w:rPr>
          <w:b/>
          <w:bCs/>
        </w:rPr>
        <w:lastRenderedPageBreak/>
        <w:t>4. Treasury Management</w:t>
      </w:r>
    </w:p>
    <w:p w14:paraId="64BBE564" w14:textId="77777777" w:rsidR="001E267E" w:rsidRDefault="001E267E" w:rsidP="001E267E">
      <w:pPr>
        <w:rPr>
          <w:b/>
          <w:bCs/>
        </w:rPr>
      </w:pPr>
    </w:p>
    <w:p w14:paraId="0C600240" w14:textId="32B855AF" w:rsidR="001E267E" w:rsidRPr="001E267E" w:rsidRDefault="001E267E" w:rsidP="001E267E">
      <w:pPr>
        <w:rPr>
          <w:b/>
          <w:bCs/>
        </w:rPr>
      </w:pPr>
      <w:r w:rsidRPr="001E267E">
        <w:rPr>
          <w:b/>
          <w:bCs/>
        </w:rPr>
        <w:t>4.1 Fund Allocation and Network Development</w:t>
      </w:r>
    </w:p>
    <w:p w14:paraId="5A430D44" w14:textId="77777777" w:rsidR="001E267E" w:rsidRPr="001E267E" w:rsidRDefault="001E267E" w:rsidP="001E267E">
      <w:r w:rsidRPr="001E267E">
        <w:t>The treasury funds are strategically allocated to ensure continuous network improvements and research in scalability solutions, security enhancements, and developer incentives.</w:t>
      </w:r>
    </w:p>
    <w:p w14:paraId="41F1AE28" w14:textId="77777777" w:rsidR="001E267E" w:rsidRDefault="001E267E" w:rsidP="001E267E">
      <w:pPr>
        <w:rPr>
          <w:b/>
          <w:bCs/>
        </w:rPr>
      </w:pPr>
    </w:p>
    <w:p w14:paraId="5960D67F" w14:textId="175C1080" w:rsidR="001E267E" w:rsidRPr="001E267E" w:rsidRDefault="001E267E" w:rsidP="001E267E">
      <w:pPr>
        <w:rPr>
          <w:b/>
          <w:bCs/>
        </w:rPr>
      </w:pPr>
      <w:r w:rsidRPr="001E267E">
        <w:rPr>
          <w:b/>
          <w:bCs/>
        </w:rPr>
        <w:t>4.2 Governance of Treasury Spending</w:t>
      </w:r>
    </w:p>
    <w:p w14:paraId="7311BC72" w14:textId="77777777" w:rsidR="001E267E" w:rsidRPr="001E267E" w:rsidRDefault="001E267E" w:rsidP="001E267E">
      <w:r w:rsidRPr="001E267E">
        <w:t>Governance mechanisms ensure transparency in fund distribution:</w:t>
      </w:r>
    </w:p>
    <w:p w14:paraId="0A775A5A" w14:textId="77777777" w:rsidR="001E267E" w:rsidRPr="001E267E" w:rsidRDefault="001E267E" w:rsidP="001E267E">
      <w:pPr>
        <w:numPr>
          <w:ilvl w:val="0"/>
          <w:numId w:val="5"/>
        </w:numPr>
      </w:pPr>
      <w:r w:rsidRPr="001E267E">
        <w:rPr>
          <w:b/>
          <w:bCs/>
        </w:rPr>
        <w:t>Proposal System</w:t>
      </w:r>
      <w:r w:rsidRPr="001E267E">
        <w:t>: Community-driven proposals for network upgrades and project funding.</w:t>
      </w:r>
    </w:p>
    <w:p w14:paraId="1FD1E8C4" w14:textId="77777777" w:rsidR="001E267E" w:rsidRPr="001E267E" w:rsidRDefault="001E267E" w:rsidP="001E267E">
      <w:pPr>
        <w:numPr>
          <w:ilvl w:val="0"/>
          <w:numId w:val="5"/>
        </w:numPr>
      </w:pPr>
      <w:r w:rsidRPr="001E267E">
        <w:rPr>
          <w:b/>
          <w:bCs/>
        </w:rPr>
        <w:t>Voting Mechanism</w:t>
      </w:r>
      <w:r w:rsidRPr="001E267E">
        <w:t>: Staked SYN determines voting power in treasury allocation decisions.</w:t>
      </w:r>
    </w:p>
    <w:p w14:paraId="52DB7846" w14:textId="77777777" w:rsidR="001E267E" w:rsidRPr="001E267E" w:rsidRDefault="001E267E" w:rsidP="001E267E">
      <w:pPr>
        <w:numPr>
          <w:ilvl w:val="0"/>
          <w:numId w:val="5"/>
        </w:numPr>
      </w:pPr>
      <w:r w:rsidRPr="001E267E">
        <w:rPr>
          <w:b/>
          <w:bCs/>
        </w:rPr>
        <w:t>Cluster-Level Initiatives</w:t>
      </w:r>
      <w:r w:rsidRPr="001E267E">
        <w:t>: Validator clusters can propose optimizations and receive funding based on approval.</w:t>
      </w:r>
    </w:p>
    <w:p w14:paraId="407DC3BD" w14:textId="77777777" w:rsidR="001E267E" w:rsidRDefault="001E267E" w:rsidP="001E267E">
      <w:pPr>
        <w:rPr>
          <w:b/>
          <w:bCs/>
        </w:rPr>
      </w:pPr>
    </w:p>
    <w:p w14:paraId="48A203CD" w14:textId="6FB2FC16" w:rsidR="001E267E" w:rsidRPr="001E267E" w:rsidRDefault="001E267E" w:rsidP="001E267E">
      <w:pPr>
        <w:rPr>
          <w:b/>
          <w:bCs/>
        </w:rPr>
      </w:pPr>
      <w:r w:rsidRPr="001E267E">
        <w:rPr>
          <w:b/>
          <w:bCs/>
        </w:rPr>
        <w:t>4.3 Deflationary Mechanisms</w:t>
      </w:r>
    </w:p>
    <w:p w14:paraId="0A78984E" w14:textId="77777777" w:rsidR="001E267E" w:rsidRPr="001E267E" w:rsidRDefault="001E267E" w:rsidP="001E267E">
      <w:r w:rsidRPr="001E267E">
        <w:t>A portion of transaction fees and penalties is burned to maintain SYN's scarcity and value, promoting long-term economic stability.</w:t>
      </w:r>
    </w:p>
    <w:p w14:paraId="0F7D09BA" w14:textId="77777777" w:rsidR="001E267E" w:rsidRDefault="001E267E" w:rsidP="001E267E">
      <w:pPr>
        <w:rPr>
          <w:b/>
          <w:bCs/>
        </w:rPr>
      </w:pPr>
    </w:p>
    <w:p w14:paraId="4F77B117" w14:textId="33CB0B4B" w:rsidR="001E267E" w:rsidRPr="001E267E" w:rsidRDefault="001E267E" w:rsidP="001E267E">
      <w:pPr>
        <w:rPr>
          <w:b/>
          <w:bCs/>
        </w:rPr>
      </w:pPr>
      <w:r w:rsidRPr="001E267E">
        <w:rPr>
          <w:b/>
          <w:bCs/>
        </w:rPr>
        <w:t>5. Conclusion</w:t>
      </w:r>
    </w:p>
    <w:p w14:paraId="3DD1A782" w14:textId="77777777" w:rsidR="001E267E" w:rsidRPr="001E267E" w:rsidRDefault="001E267E" w:rsidP="001E267E">
      <w:r w:rsidRPr="001E267E">
        <w:t>The Synergy Network’s business model is built on a balanced approach to sustainability, incentivizing participation while ensuring continued development. By leveraging staking rewards, dynamic transaction fees, and a governance-driven treasury, the network remains adaptable, scalable, and financially self-sustaining.</w:t>
      </w:r>
    </w:p>
    <w:p w14:paraId="08A24336" w14:textId="77777777" w:rsidR="001E267E" w:rsidRDefault="001E267E"/>
    <w:sectPr w:rsidR="001E267E" w:rsidSect="001E267E">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561D3"/>
    <w:multiLevelType w:val="multilevel"/>
    <w:tmpl w:val="6CCE9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E004C3"/>
    <w:multiLevelType w:val="multilevel"/>
    <w:tmpl w:val="9938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60428"/>
    <w:multiLevelType w:val="multilevel"/>
    <w:tmpl w:val="21E0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C4C78"/>
    <w:multiLevelType w:val="multilevel"/>
    <w:tmpl w:val="AC1C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A7564"/>
    <w:multiLevelType w:val="multilevel"/>
    <w:tmpl w:val="C38A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564045">
    <w:abstractNumId w:val="4"/>
  </w:num>
  <w:num w:numId="2" w16cid:durableId="690185279">
    <w:abstractNumId w:val="2"/>
  </w:num>
  <w:num w:numId="3" w16cid:durableId="1014960377">
    <w:abstractNumId w:val="0"/>
  </w:num>
  <w:num w:numId="4" w16cid:durableId="2010019033">
    <w:abstractNumId w:val="1"/>
  </w:num>
  <w:num w:numId="5" w16cid:durableId="1174682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7E"/>
    <w:rsid w:val="001E267E"/>
    <w:rsid w:val="003B2903"/>
    <w:rsid w:val="0087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20635"/>
  <w15:chartTrackingRefBased/>
  <w15:docId w15:val="{8524B4C4-E427-4E1A-9A38-BE158646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6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6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6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6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67E"/>
    <w:rPr>
      <w:rFonts w:eastAsiaTheme="majorEastAsia" w:cstheme="majorBidi"/>
      <w:color w:val="272727" w:themeColor="text1" w:themeTint="D8"/>
    </w:rPr>
  </w:style>
  <w:style w:type="paragraph" w:styleId="Title">
    <w:name w:val="Title"/>
    <w:basedOn w:val="Normal"/>
    <w:next w:val="Normal"/>
    <w:link w:val="TitleChar"/>
    <w:uiPriority w:val="10"/>
    <w:qFormat/>
    <w:rsid w:val="001E2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67E"/>
    <w:pPr>
      <w:spacing w:before="160"/>
      <w:jc w:val="center"/>
    </w:pPr>
    <w:rPr>
      <w:i/>
      <w:iCs/>
      <w:color w:val="404040" w:themeColor="text1" w:themeTint="BF"/>
    </w:rPr>
  </w:style>
  <w:style w:type="character" w:customStyle="1" w:styleId="QuoteChar">
    <w:name w:val="Quote Char"/>
    <w:basedOn w:val="DefaultParagraphFont"/>
    <w:link w:val="Quote"/>
    <w:uiPriority w:val="29"/>
    <w:rsid w:val="001E267E"/>
    <w:rPr>
      <w:i/>
      <w:iCs/>
      <w:color w:val="404040" w:themeColor="text1" w:themeTint="BF"/>
    </w:rPr>
  </w:style>
  <w:style w:type="paragraph" w:styleId="ListParagraph">
    <w:name w:val="List Paragraph"/>
    <w:basedOn w:val="Normal"/>
    <w:uiPriority w:val="34"/>
    <w:qFormat/>
    <w:rsid w:val="001E267E"/>
    <w:pPr>
      <w:ind w:left="720"/>
      <w:contextualSpacing/>
    </w:pPr>
  </w:style>
  <w:style w:type="character" w:styleId="IntenseEmphasis">
    <w:name w:val="Intense Emphasis"/>
    <w:basedOn w:val="DefaultParagraphFont"/>
    <w:uiPriority w:val="21"/>
    <w:qFormat/>
    <w:rsid w:val="001E267E"/>
    <w:rPr>
      <w:i/>
      <w:iCs/>
      <w:color w:val="0F4761" w:themeColor="accent1" w:themeShade="BF"/>
    </w:rPr>
  </w:style>
  <w:style w:type="paragraph" w:styleId="IntenseQuote">
    <w:name w:val="Intense Quote"/>
    <w:basedOn w:val="Normal"/>
    <w:next w:val="Normal"/>
    <w:link w:val="IntenseQuoteChar"/>
    <w:uiPriority w:val="30"/>
    <w:qFormat/>
    <w:rsid w:val="001E2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67E"/>
    <w:rPr>
      <w:i/>
      <w:iCs/>
      <w:color w:val="0F4761" w:themeColor="accent1" w:themeShade="BF"/>
    </w:rPr>
  </w:style>
  <w:style w:type="character" w:styleId="IntenseReference">
    <w:name w:val="Intense Reference"/>
    <w:basedOn w:val="DefaultParagraphFont"/>
    <w:uiPriority w:val="32"/>
    <w:qFormat/>
    <w:rsid w:val="001E26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42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Hutzler</dc:creator>
  <cp:keywords/>
  <dc:description/>
  <cp:lastModifiedBy>Justin Hutzler</cp:lastModifiedBy>
  <cp:revision>1</cp:revision>
  <dcterms:created xsi:type="dcterms:W3CDTF">2025-02-03T12:49:00Z</dcterms:created>
  <dcterms:modified xsi:type="dcterms:W3CDTF">2025-02-03T15:10:00Z</dcterms:modified>
</cp:coreProperties>
</file>