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cs="Times-Bold" w:ascii="Times-Bold" w:hAnsi="Times-Bold"/>
          <w:b/>
          <w:bCs/>
          <w:kern w:val="0"/>
          <w:sz w:val="28"/>
          <w:szCs w:val="28"/>
        </w:rPr>
        <w:t>Synergy Network Address Formatting Specification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kern w:val="0"/>
          <w:sz w:val="28"/>
          <w:szCs w:val="28"/>
        </w:rPr>
      </w:pPr>
      <w:r>
        <w:rPr>
          <w:rFonts w:cs="Times-Roman" w:ascii="Times-Roman" w:hAnsi="Times-Roman"/>
          <w:kern w:val="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-Bold" w:hAnsi="Times-Bold" w:cs="Times-Bold"/>
          <w:b/>
          <w:bCs/>
          <w:kern w:val="0"/>
        </w:rPr>
      </w:pPr>
      <w:r>
        <w:rPr>
          <w:rFonts w:cs="Times-Bold" w:ascii="Times-Bold" w:hAnsi="Times-Bold"/>
          <w:b/>
          <w:bCs/>
          <w:kern w:val="0"/>
        </w:rPr>
        <w:t>1. Address &amp; Key Examples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This section provides examples of different address and key formats used in the Synergy Network.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1.1 Wallet Address Example</w:t>
      </w:r>
    </w:p>
    <w:p>
      <w:pPr>
        <w:pStyle w:val="Normal"/>
        <w:spacing w:lineRule="auto" w:line="240" w:before="0" w:after="0"/>
        <w:rPr>
          <w:rFonts w:ascii="Times-Bold" w:hAnsi="Times-Bold" w:cs="Times-Bold"/>
          <w:b/>
          <w:bCs/>
          <w:kern w:val="0"/>
          <w:sz w:val="8"/>
          <w:szCs w:val="8"/>
        </w:rPr>
      </w:pPr>
      <w:r>
        <w:rPr>
          <w:rFonts w:cs="Times-Bold" w:ascii="Times-Bold" w:hAnsi="Times-Bold"/>
          <w:b/>
          <w:bCs/>
          <w:kern w:val="0"/>
          <w:sz w:val="8"/>
          <w:szCs w:val="8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kern w:val="0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</w:rPr>
        <w:t>sYnQ1zxy8qhj4j59xp5lwkwpd5qws9aygz8pl9m3kmjx3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8"/>
          <w:szCs w:val="8"/>
        </w:rPr>
      </w:pPr>
      <w:r>
        <w:rPr>
          <w:rFonts w:cs="Courier New" w:ascii="Courier New" w:hAnsi="Courier New"/>
          <w:kern w:val="0"/>
          <w:sz w:val="8"/>
          <w:szCs w:val="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180" w:start="540"/>
        <w:rPr>
          <w:rFonts w:ascii="Times-Roman" w:hAnsi="Times-Roman" w:cs="Times-Roman"/>
          <w:kern w:val="0"/>
          <w:sz w:val="18"/>
          <w:szCs w:val="18"/>
        </w:rPr>
      </w:pPr>
      <w:r>
        <w:rPr>
          <w:rFonts w:cs="Times-Roman" w:ascii="Times-Roman" w:hAnsi="Times-Roman"/>
          <w:kern w:val="0"/>
          <w:sz w:val="18"/>
          <w:szCs w:val="18"/>
        </w:rPr>
        <w:t xml:space="preserve">Generated using </w:t>
      </w:r>
      <w:r>
        <w:rPr>
          <w:rFonts w:cs="Times-Bold" w:ascii="Times-Bold" w:hAnsi="Times-Bold"/>
          <w:b/>
          <w:bCs/>
          <w:kern w:val="0"/>
          <w:sz w:val="18"/>
          <w:szCs w:val="18"/>
        </w:rPr>
        <w:t>Bech32m encoding</w:t>
      </w:r>
      <w:r>
        <w:rPr>
          <w:rFonts w:cs="Times-Roman" w:ascii="Times-Roman" w:hAnsi="Times-Roman"/>
          <w:kern w:val="0"/>
          <w:sz w:val="18"/>
          <w:szCs w:val="18"/>
        </w:rPr>
        <w:t xml:space="preserve"> with a random </w:t>
      </w:r>
      <w:r>
        <w:rPr>
          <w:rFonts w:cs="Courier New" w:ascii="Courier New" w:hAnsi="Courier New"/>
          <w:kern w:val="0"/>
          <w:sz w:val="18"/>
          <w:szCs w:val="18"/>
        </w:rPr>
        <w:t>sYnQ,</w:t>
      </w:r>
      <w:r>
        <w:rPr>
          <w:rFonts w:cs="Times-Roman" w:ascii="Times-Roman" w:hAnsi="Times-Roman"/>
          <w:kern w:val="0"/>
          <w:sz w:val="18"/>
          <w:szCs w:val="18"/>
        </w:rPr>
        <w:t xml:space="preserve"> </w:t>
      </w:r>
      <w:r>
        <w:rPr>
          <w:rFonts w:cs="Courier New" w:ascii="Courier New" w:hAnsi="Courier New"/>
          <w:kern w:val="0"/>
          <w:sz w:val="18"/>
          <w:szCs w:val="18"/>
        </w:rPr>
        <w:t xml:space="preserve">sYnU, </w:t>
      </w:r>
      <w:r>
        <w:rPr>
          <w:rFonts w:cs="Courier New" w:ascii="Courier New" w:hAnsi="Courier New"/>
          <w:kern w:val="0"/>
          <w:sz w:val="18"/>
          <w:szCs w:val="18"/>
        </w:rPr>
        <w:t xml:space="preserve">sYnX, or sYnZ </w:t>
      </w:r>
      <w:r>
        <w:rPr>
          <w:rFonts w:cs="Times-Roman" w:ascii="Times-Roman" w:hAnsi="Times-Roman"/>
          <w:kern w:val="0"/>
          <w:sz w:val="18"/>
          <w:szCs w:val="18"/>
        </w:rPr>
        <w:t xml:space="preserve"> prefix.</w:t>
      </w:r>
    </w:p>
    <w:p>
      <w:pPr>
        <w:pStyle w:val="Normal"/>
        <w:spacing w:lineRule="auto" w:line="240" w:before="0" w:after="0"/>
        <w:ind w:start="540"/>
        <w:rPr>
          <w:rFonts w:ascii="Times-Roman" w:hAnsi="Times-Roman" w:cs="Times-Roman"/>
          <w:kern w:val="0"/>
          <w:sz w:val="18"/>
          <w:szCs w:val="18"/>
        </w:rPr>
      </w:pPr>
      <w:r>
        <w:rPr>
          <w:rFonts w:cs="Times-Roman" w:ascii="Times-Roman" w:hAnsi="Times-Roman"/>
          <w:kern w:val="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1.2 Public Key Example</w:t>
      </w:r>
    </w:p>
    <w:p>
      <w:pPr>
        <w:pStyle w:val="Normal"/>
        <w:spacing w:lineRule="auto" w:line="240" w:before="0" w:after="0"/>
        <w:rPr>
          <w:rFonts w:ascii="Times-Bold" w:hAnsi="Times-Bold" w:cs="Times-Bold"/>
          <w:b/>
          <w:bCs/>
          <w:kern w:val="0"/>
          <w:sz w:val="8"/>
          <w:szCs w:val="8"/>
        </w:rPr>
      </w:pPr>
      <w:r>
        <w:rPr>
          <w:rFonts w:cs="Times-Bold" w:ascii="Times-Bold" w:hAnsi="Times-Bold"/>
          <w:b/>
          <w:bCs/>
          <w:kern w:val="0"/>
          <w:sz w:val="8"/>
          <w:szCs w:val="8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kern w:val="0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</w:rPr>
        <w:t>6fd47f3a8dca7e47c5f9a9128b3a45dc1f91de789da3e69f54a8a13fd0a937a2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8"/>
          <w:szCs w:val="8"/>
        </w:rPr>
      </w:pPr>
      <w:r>
        <w:rPr>
          <w:rFonts w:cs="Courier New" w:ascii="Courier New" w:hAnsi="Courier New"/>
          <w:kern w:val="0"/>
          <w:sz w:val="8"/>
          <w:szCs w:val="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hanging="180" w:start="540"/>
        <w:rPr>
          <w:rFonts w:ascii="Times-Roman" w:hAnsi="Times-Roman" w:cs="Times-Roman"/>
          <w:kern w:val="0"/>
          <w:sz w:val="18"/>
          <w:szCs w:val="18"/>
        </w:rPr>
      </w:pPr>
      <w:r>
        <w:rPr>
          <w:rFonts w:cs="Times-Roman" w:ascii="Times-Roman" w:hAnsi="Times-Roman"/>
          <w:kern w:val="0"/>
          <w:sz w:val="18"/>
          <w:szCs w:val="18"/>
        </w:rPr>
        <w:t xml:space="preserve">Derived from </w:t>
      </w:r>
      <w:r>
        <w:rPr>
          <w:rFonts w:cs="Times-Bold" w:ascii="Times-Bold" w:hAnsi="Times-Bold"/>
          <w:b/>
          <w:bCs/>
          <w:kern w:val="0"/>
          <w:sz w:val="18"/>
          <w:szCs w:val="18"/>
        </w:rPr>
        <w:t>Dilithium-3 (CRYSTALS PQC Standard)</w:t>
      </w:r>
      <w:r>
        <w:rPr>
          <w:rFonts w:cs="Times-Roman" w:ascii="Times-Roman" w:hAnsi="Times-Roman"/>
          <w:kern w:val="0"/>
          <w:sz w:val="18"/>
          <w:szCs w:val="18"/>
        </w:rPr>
        <w:t xml:space="preserve"> for post-quantum security.</w:t>
      </w:r>
    </w:p>
    <w:p>
      <w:pPr>
        <w:pStyle w:val="Normal"/>
        <w:spacing w:lineRule="auto" w:line="240" w:before="0" w:after="0"/>
        <w:ind w:start="540"/>
        <w:rPr>
          <w:rFonts w:ascii="Times-Roman" w:hAnsi="Times-Roman" w:cs="Times-Roman"/>
          <w:kern w:val="0"/>
          <w:sz w:val="18"/>
          <w:szCs w:val="18"/>
        </w:rPr>
      </w:pPr>
      <w:r>
        <w:rPr>
          <w:rFonts w:cs="Times-Roman" w:ascii="Times-Roman" w:hAnsi="Times-Roman"/>
          <w:kern w:val="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1.3 Private Key Example</w:t>
      </w:r>
    </w:p>
    <w:p>
      <w:pPr>
        <w:pStyle w:val="Normal"/>
        <w:spacing w:lineRule="auto" w:line="240" w:before="0" w:after="0"/>
        <w:rPr>
          <w:rFonts w:ascii="Times-Bold" w:hAnsi="Times-Bold" w:cs="Times-Bold"/>
          <w:b/>
          <w:bCs/>
          <w:kern w:val="0"/>
          <w:sz w:val="8"/>
          <w:szCs w:val="8"/>
        </w:rPr>
      </w:pPr>
      <w:r>
        <w:rPr>
          <w:rFonts w:cs="Times-Bold" w:ascii="Times-Bold" w:hAnsi="Times-Bold"/>
          <w:b/>
          <w:bCs/>
          <w:kern w:val="0"/>
          <w:sz w:val="8"/>
          <w:szCs w:val="8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kern w:val="0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</w:rPr>
        <w:t>d14c8d2e5b3f7a9a0f2b3c8d1e2f3a7c6d5e4f2a1b9c3d7e8a0f1b2c3d4e5f6a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8"/>
          <w:szCs w:val="8"/>
        </w:rPr>
      </w:pPr>
      <w:r>
        <w:rPr>
          <w:rFonts w:cs="Courier New" w:ascii="Courier New" w:hAnsi="Courier New"/>
          <w:kern w:val="0"/>
          <w:sz w:val="8"/>
          <w:szCs w:val="8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hanging="180" w:start="540"/>
        <w:rPr>
          <w:rFonts w:ascii="Times-Roman" w:hAnsi="Times-Roman" w:cs="Times-Roman"/>
          <w:kern w:val="0"/>
          <w:sz w:val="18"/>
          <w:szCs w:val="18"/>
        </w:rPr>
      </w:pPr>
      <w:r>
        <w:rPr>
          <w:rFonts w:cs="Times-Roman" w:ascii="Times-Roman" w:hAnsi="Times-Roman"/>
          <w:kern w:val="0"/>
          <w:sz w:val="18"/>
          <w:szCs w:val="18"/>
        </w:rPr>
        <w:t>Securely stored and used for signing transactions.</w:t>
      </w:r>
    </w:p>
    <w:p>
      <w:pPr>
        <w:pStyle w:val="Normal"/>
        <w:tabs>
          <w:tab w:val="left" w:pos="220" w:leader="none"/>
          <w:tab w:val="left" w:pos="720" w:leader="none"/>
        </w:tabs>
        <w:spacing w:lineRule="auto" w:line="240" w:before="0" w:after="0"/>
        <w:ind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1.4 Smart Contract Address Example</w:t>
      </w:r>
    </w:p>
    <w:p>
      <w:pPr>
        <w:pStyle w:val="Normal"/>
        <w:spacing w:lineRule="auto" w:line="276" w:before="0" w:after="0"/>
        <w:jc w:val="center"/>
        <w:rPr>
          <w:rFonts w:ascii="Courier New" w:hAnsi="Courier New" w:cs="Courier New"/>
          <w:kern w:val="0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</w:rPr>
        <w:t>sYn</w:t>
      </w:r>
      <w:r>
        <w:rPr>
          <w:rFonts w:cs="Courier New" w:ascii="Courier New" w:hAnsi="Courier New"/>
          <w:kern w:val="0"/>
          <w:sz w:val="22"/>
          <w:szCs w:val="22"/>
        </w:rPr>
        <w:t>S</w:t>
      </w:r>
      <w:r>
        <w:rPr>
          <w:rFonts w:cs="Courier New" w:ascii="Courier New" w:hAnsi="Courier New"/>
          <w:kern w:val="0"/>
          <w:sz w:val="22"/>
          <w:szCs w:val="22"/>
        </w:rPr>
        <w:t>-CONTRACT-8a7b5c9f3d6e1a2b4c7d8f9e0a5b6c3d</w:t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spacing w:lineRule="auto" w:line="276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Unique contract address format with “</w:t>
      </w:r>
      <w:r>
        <w:rPr>
          <w:rFonts w:cs="Courier New" w:ascii="Courier New" w:hAnsi="Courier New"/>
          <w:kern w:val="0"/>
          <w:sz w:val="22"/>
          <w:szCs w:val="22"/>
        </w:rPr>
        <w:t>sYn</w:t>
      </w:r>
      <w:r>
        <w:rPr>
          <w:rFonts w:cs="Courier New" w:ascii="Courier New" w:hAnsi="Courier New"/>
          <w:kern w:val="0"/>
          <w:sz w:val="22"/>
          <w:szCs w:val="22"/>
        </w:rPr>
        <w:t>S</w:t>
      </w:r>
      <w:r>
        <w:rPr>
          <w:rFonts w:cs="Courier New" w:ascii="Courier New" w:hAnsi="Courier New"/>
          <w:kern w:val="0"/>
          <w:sz w:val="22"/>
          <w:szCs w:val="22"/>
        </w:rPr>
        <w:t xml:space="preserve">-CONTRACT-” </w:t>
      </w:r>
      <w:r>
        <w:rPr>
          <w:rFonts w:cs="Courier New" w:ascii="Courier New" w:hAnsi="Courier New"/>
          <w:kern w:val="0"/>
          <w:sz w:val="22"/>
          <w:szCs w:val="22"/>
        </w:rPr>
        <w:t>or “sYnC-CONTRACT-”</w:t>
      </w:r>
      <w:r>
        <w:rPr>
          <w:rFonts w:cs="Times-Roman" w:ascii="Times-Roman" w:hAnsi="Times-Roman"/>
          <w:kern w:val="0"/>
          <w:sz w:val="20"/>
          <w:szCs w:val="20"/>
        </w:rPr>
        <w:t xml:space="preserve"> prefix.</w:t>
      </w:r>
    </w:p>
    <w:p>
      <w:pPr>
        <w:pStyle w:val="Normal"/>
        <w:tabs>
          <w:tab w:val="left" w:pos="220" w:leader="none"/>
          <w:tab w:val="left" w:pos="720" w:leader="none"/>
        </w:tabs>
        <w:spacing w:lineRule="auto" w:line="276" w:before="0" w:after="0"/>
        <w:ind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1.5 Transaction Identifier Example</w:t>
      </w:r>
    </w:p>
    <w:p>
      <w:pPr>
        <w:pStyle w:val="Normal"/>
        <w:spacing w:lineRule="auto" w:line="276" w:before="0" w:after="0"/>
        <w:jc w:val="center"/>
        <w:rPr>
          <w:rFonts w:ascii="Courier New" w:hAnsi="Courier New" w:cs="Courier New"/>
          <w:kern w:val="0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</w:rPr>
        <w:t>sYn</w:t>
      </w:r>
      <w:r>
        <w:rPr>
          <w:rFonts w:cs="Courier New" w:ascii="Courier New" w:hAnsi="Courier New"/>
          <w:kern w:val="0"/>
          <w:sz w:val="22"/>
          <w:szCs w:val="22"/>
        </w:rPr>
        <w:t>T-tXn</w:t>
      </w:r>
      <w:r>
        <w:rPr>
          <w:rFonts w:cs="Courier New" w:ascii="Courier New" w:hAnsi="Courier New"/>
          <w:kern w:val="0"/>
          <w:sz w:val="22"/>
          <w:szCs w:val="22"/>
        </w:rPr>
        <w:t>-abcdef1234567890abcdef1234567890</w:t>
      </w:r>
    </w:p>
    <w:p>
      <w:pPr>
        <w:pStyle w:val="Normal"/>
        <w:numPr>
          <w:ilvl w:val="0"/>
          <w:numId w:val="6"/>
        </w:numPr>
        <w:tabs>
          <w:tab w:val="left" w:pos="220" w:leader="none"/>
          <w:tab w:val="left" w:pos="720" w:leader="none"/>
        </w:tabs>
        <w:spacing w:lineRule="auto" w:line="276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Prefixed with “</w:t>
      </w:r>
      <w:r>
        <w:rPr>
          <w:rFonts w:cs="Times-Roman" w:ascii="Times-Roman" w:hAnsi="Times-Roman"/>
          <w:kern w:val="0"/>
          <w:sz w:val="20"/>
          <w:szCs w:val="20"/>
        </w:rPr>
        <w:t>sYnT-t</w:t>
      </w:r>
      <w:r>
        <w:rPr>
          <w:rFonts w:cs="Courier New" w:ascii="Courier New" w:hAnsi="Courier New"/>
          <w:kern w:val="0"/>
          <w:sz w:val="22"/>
          <w:szCs w:val="22"/>
        </w:rPr>
        <w:t>Xn-” or “sYnA-tXn-”</w:t>
      </w:r>
      <w:r>
        <w:rPr>
          <w:rFonts w:cs="Times-Roman" w:ascii="Times-Roman" w:hAnsi="Times-Roman"/>
          <w:kern w:val="0"/>
          <w:sz w:val="20"/>
          <w:szCs w:val="20"/>
        </w:rPr>
        <w:t xml:space="preserve"> to denote transaction records.</w:t>
      </w:r>
    </w:p>
    <w:p>
      <w:pPr>
        <w:pStyle w:val="Normal"/>
        <w:tabs>
          <w:tab w:val="left" w:pos="220" w:leader="none"/>
          <w:tab w:val="left" w:pos="720" w:leader="none"/>
        </w:tabs>
        <w:spacing w:lineRule="auto" w:line="276" w:before="0" w:after="0"/>
        <w:ind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1.6 Synergy Naming System (SNS) Example</w:t>
      </w:r>
    </w:p>
    <w:p>
      <w:pPr>
        <w:pStyle w:val="Normal"/>
        <w:spacing w:lineRule="auto" w:line="276" w:before="0" w:after="0"/>
        <w:jc w:val="center"/>
        <w:rPr>
          <w:rFonts w:ascii="Courier New" w:hAnsi="Courier New" w:cs="Courier New"/>
          <w:kern w:val="0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</w:rPr>
        <w:t>alice.syn</w:t>
      </w:r>
    </w:p>
    <w:p>
      <w:pPr>
        <w:pStyle w:val="Normal"/>
        <w:numPr>
          <w:ilvl w:val="0"/>
          <w:numId w:val="7"/>
        </w:numPr>
        <w:pBdr>
          <w:bottom w:val="single" w:sz="12" w:space="1" w:color="000000"/>
        </w:pBdr>
        <w:tabs>
          <w:tab w:val="left" w:pos="220" w:leader="none"/>
          <w:tab w:val="left" w:pos="720" w:leader="none"/>
        </w:tabs>
        <w:spacing w:lineRule="auto" w:line="276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Human-readable name resolving to a Synergy Network address.</w:t>
      </w:r>
    </w:p>
    <w:p>
      <w:pPr>
        <w:pStyle w:val="Normal"/>
        <w:pBdr>
          <w:bottom w:val="single" w:sz="12" w:space="1" w:color="000000"/>
        </w:pBdr>
        <w:tabs>
          <w:tab w:val="left" w:pos="220" w:leader="none"/>
          <w:tab w:val="left" w:pos="720" w:leader="none"/>
        </w:tabs>
        <w:spacing w:lineRule="auto" w:line="240" w:before="0" w:after="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-Roman" w:hAnsi="Times-Roman" w:cs="Times-Roman"/>
          <w:color w:val="6D6D6D"/>
          <w:kern w:val="0"/>
          <w:sz w:val="20"/>
          <w:szCs w:val="20"/>
        </w:rPr>
      </w:pPr>
      <w:r>
        <w:rPr>
          <w:rFonts w:cs="Times-Roman" w:ascii="Times-Roman" w:hAnsi="Times-Roman"/>
          <w:color w:val="6D6D6D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-Bold" w:hAnsi="Times-Bold" w:cs="Times-Bold"/>
          <w:b/>
          <w:bCs/>
          <w:kern w:val="0"/>
        </w:rPr>
      </w:pPr>
      <w:r>
        <w:rPr>
          <w:rFonts w:cs="Times-Bold" w:ascii="Times-Bold" w:hAnsi="Times-Bold"/>
          <w:b/>
          <w:bCs/>
          <w:kern w:val="0"/>
        </w:rPr>
        <w:t>2. Overview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This document defines the unique address format for the Synergy Network. The goal is to create an address system that:</w:t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Differentiates from existing blockchains (e.g., Ethereum, Bitcoin, Solana).</w:t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Supports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human-readable identifiers</w:t>
      </w:r>
      <w:r>
        <w:rPr>
          <w:rFonts w:cs="Times-Roman" w:ascii="Times-Roman" w:hAnsi="Times-Roman"/>
          <w:kern w:val="0"/>
          <w:sz w:val="20"/>
          <w:szCs w:val="20"/>
        </w:rPr>
        <w:t>.</w:t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Ensures compatibility with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quantum-safe cryptography</w:t>
      </w:r>
      <w:r>
        <w:rPr>
          <w:rFonts w:cs="Times-Roman" w:ascii="Times-Roman" w:hAnsi="Times-Roman"/>
          <w:kern w:val="0"/>
          <w:sz w:val="20"/>
          <w:szCs w:val="20"/>
        </w:rPr>
        <w:t>.</w:t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Allows seamless cross-chain transactions through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Universal Meta-Addresses (UMA)</w:t>
      </w:r>
      <w:r>
        <w:rPr>
          <w:rFonts w:cs="Times-Roman" w:ascii="Times-Roman" w:hAnsi="Times-Roman"/>
          <w:kern w:val="0"/>
          <w:sz w:val="20"/>
          <w:szCs w:val="20"/>
        </w:rPr>
        <w:t>.</w:t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Uses a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randomly chosen prefix</w:t>
      </w:r>
      <w:r>
        <w:rPr>
          <w:rFonts w:cs="Times-Roman" w:ascii="Times-Roman" w:hAnsi="Times-Roman"/>
          <w:kern w:val="0"/>
          <w:sz w:val="20"/>
          <w:szCs w:val="20"/>
        </w:rPr>
        <w:t xml:space="preserve"> between </w:t>
      </w:r>
      <w:r>
        <w:rPr>
          <w:rFonts w:cs="Courier New" w:ascii="Courier New" w:hAnsi="Courier New"/>
          <w:kern w:val="0"/>
          <w:sz w:val="18"/>
          <w:szCs w:val="18"/>
        </w:rPr>
        <w:t>sYnQ,</w:t>
      </w:r>
      <w:r>
        <w:rPr>
          <w:rFonts w:cs="Times-Roman" w:ascii="Times-Roman" w:hAnsi="Times-Roman"/>
          <w:kern w:val="0"/>
          <w:sz w:val="18"/>
          <w:szCs w:val="18"/>
        </w:rPr>
        <w:t xml:space="preserve"> </w:t>
      </w:r>
      <w:r>
        <w:rPr>
          <w:rFonts w:cs="Courier New" w:ascii="Courier New" w:hAnsi="Courier New"/>
          <w:kern w:val="0"/>
          <w:sz w:val="18"/>
          <w:szCs w:val="18"/>
        </w:rPr>
        <w:t xml:space="preserve">sYnU, </w:t>
      </w:r>
      <w:r>
        <w:rPr>
          <w:rFonts w:cs="Courier New" w:ascii="Courier New" w:hAnsi="Courier New"/>
          <w:kern w:val="0"/>
          <w:sz w:val="18"/>
          <w:szCs w:val="18"/>
        </w:rPr>
        <w:t>sYnX, or sYnZ</w:t>
      </w:r>
      <w:r>
        <w:rPr>
          <w:rFonts w:cs="Times-Roman" w:ascii="Times-Roman" w:hAnsi="Times-Roman"/>
          <w:kern w:val="0"/>
          <w:sz w:val="20"/>
          <w:szCs w:val="20"/>
        </w:rPr>
        <w:t>.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color w:val="6D6D6D"/>
          <w:kern w:val="0"/>
          <w:sz w:val="20"/>
          <w:szCs w:val="20"/>
        </w:rPr>
      </w:pPr>
      <w:r>
        <w:rPr>
          <w:rFonts w:cs="Times-Roman" w:ascii="Times-Roman" w:hAnsi="Times-Roman"/>
          <w:color w:val="6D6D6D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-Bold" w:hAnsi="Times-Bold" w:cs="Times-Bold"/>
          <w:b/>
          <w:bCs/>
          <w:kern w:val="0"/>
        </w:rPr>
      </w:pPr>
      <w:r>
        <w:rPr>
          <w:rFonts w:cs="Times-Bold" w:ascii="Times-Bold" w:hAnsi="Times-Bold"/>
          <w:b/>
          <w:bCs/>
          <w:kern w:val="0"/>
        </w:rPr>
        <w:t>3. Address Structure</w:t>
      </w:r>
    </w:p>
    <w:p>
      <w:pPr>
        <w:pStyle w:val="Normal"/>
        <w:spacing w:lineRule="auto" w:line="360" w:before="0" w:after="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Each Synergy Network address will have the following structure:</w:t>
      </w:r>
    </w:p>
    <w:p>
      <w:pPr>
        <w:pStyle w:val="Normal"/>
        <w:spacing w:lineRule="auto" w:line="360" w:before="0" w:after="0"/>
        <w:rPr>
          <w:rFonts w:ascii="Courier New" w:hAnsi="Courier New" w:cs="Courier New"/>
          <w:kern w:val="0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</w:rPr>
        <w:t>sYnX-XXXXXXXXXXXXXXX</w:t>
      </w:r>
    </w:p>
    <w:p>
      <w:pPr>
        <w:pStyle w:val="Normal"/>
        <w:spacing w:lineRule="auto" w:line="360" w:before="0" w:after="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Where:</w:t>
      </w:r>
    </w:p>
    <w:p>
      <w:pPr>
        <w:pStyle w:val="Normal"/>
        <w:numPr>
          <w:ilvl w:val="0"/>
          <w:numId w:val="9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2"/>
          <w:szCs w:val="22"/>
        </w:rPr>
        <w:t>sYnQ</w:t>
      </w:r>
      <w:r>
        <w:rPr>
          <w:rFonts w:cs="Times-Roman" w:ascii="Times-Roman" w:hAnsi="Times-Roman"/>
          <w:kern w:val="0"/>
          <w:sz w:val="20"/>
          <w:szCs w:val="20"/>
        </w:rPr>
        <w:t xml:space="preserve">, </w:t>
      </w:r>
      <w:r>
        <w:rPr>
          <w:rFonts w:cs="Courier New" w:ascii="Courier New" w:hAnsi="Courier New"/>
          <w:kern w:val="0"/>
          <w:sz w:val="18"/>
          <w:szCs w:val="18"/>
        </w:rPr>
        <w:t xml:space="preserve">sYnU, </w:t>
      </w:r>
      <w:r>
        <w:rPr>
          <w:rFonts w:cs="Courier New" w:ascii="Courier New" w:hAnsi="Courier New"/>
          <w:kern w:val="0"/>
          <w:sz w:val="18"/>
          <w:szCs w:val="18"/>
        </w:rPr>
        <w:t>sYnX, or sYnZ</w:t>
      </w:r>
      <w:r>
        <w:rPr>
          <w:rFonts w:cs="Times-Roman" w:ascii="Times-Roman" w:hAnsi="Times-Roman"/>
          <w:kern w:val="0"/>
          <w:sz w:val="20"/>
          <w:szCs w:val="20"/>
        </w:rPr>
        <w:t xml:space="preserve"> → Randomly chosen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network prefix</w:t>
      </w:r>
      <w:r>
        <w:rPr>
          <w:rFonts w:cs="Times-Roman" w:ascii="Times-Roman" w:hAnsi="Times-Roman"/>
          <w:kern w:val="0"/>
          <w:sz w:val="20"/>
          <w:szCs w:val="20"/>
        </w:rPr>
        <w:t xml:space="preserve"> (ensuring address uniqueness).</w:t>
      </w:r>
    </w:p>
    <w:p>
      <w:pPr>
        <w:pStyle w:val="Normal"/>
        <w:numPr>
          <w:ilvl w:val="0"/>
          <w:numId w:val="9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2"/>
          <w:szCs w:val="22"/>
        </w:rPr>
        <w:t>X...X</w:t>
      </w:r>
      <w:r>
        <w:rPr>
          <w:rFonts w:cs="Times-Roman" w:ascii="Times-Roman" w:hAnsi="Times-Roman"/>
          <w:kern w:val="0"/>
          <w:sz w:val="20"/>
          <w:szCs w:val="20"/>
        </w:rPr>
        <w:t xml:space="preserve"> → Encoded hash of the public key (varies based on encoding scheme).</w:t>
      </w:r>
    </w:p>
    <w:p>
      <w:pPr>
        <w:pStyle w:val="Normal"/>
        <w:tabs>
          <w:tab w:val="left" w:pos="220" w:leader="none"/>
          <w:tab w:val="left" w:pos="720" w:leader="none"/>
        </w:tabs>
        <w:spacing w:lineRule="auto" w:line="240" w:before="0" w:after="0"/>
        <w:ind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Encoding Method: Bech32m (Selected)</w:t>
      </w:r>
    </w:p>
    <w:p>
      <w:pPr>
        <w:pStyle w:val="Normal"/>
        <w:numPr>
          <w:ilvl w:val="0"/>
          <w:numId w:val="10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Example: </w:t>
      </w:r>
      <w:r>
        <w:rPr>
          <w:rFonts w:cs="Courier New" w:ascii="Courier New" w:hAnsi="Courier New"/>
          <w:kern w:val="0"/>
          <w:sz w:val="22"/>
          <w:szCs w:val="22"/>
        </w:rPr>
        <w:t>sYnQ1zxy8qhj4j59xp5lwkwpd5qws9aygz8pl9m3kmjx3</w:t>
      </w:r>
    </w:p>
    <w:p>
      <w:pPr>
        <w:pStyle w:val="Normal"/>
        <w:numPr>
          <w:ilvl w:val="0"/>
          <w:numId w:val="10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Character Length:</w:t>
      </w:r>
      <w:r>
        <w:rPr>
          <w:rFonts w:cs="Times-Roman" w:ascii="Times-Roman" w:hAnsi="Times-Roman"/>
          <w:kern w:val="0"/>
          <w:sz w:val="20"/>
          <w:szCs w:val="20"/>
        </w:rPr>
        <w:t xml:space="preserve"> 41 characters (fixed, if possible; otherwise, dynamically selected between 30-42).</w:t>
      </w:r>
    </w:p>
    <w:p>
      <w:pPr>
        <w:pStyle w:val="Normal"/>
        <w:numPr>
          <w:ilvl w:val="0"/>
          <w:numId w:val="10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Pros:</w:t>
      </w:r>
      <w:r>
        <w:rPr>
          <w:rFonts w:cs="Times-Roman" w:ascii="Times-Roman" w:hAnsi="Times-Roman"/>
          <w:kern w:val="0"/>
          <w:sz w:val="20"/>
          <w:szCs w:val="20"/>
        </w:rPr>
        <w:t xml:space="preserve"> Error detection, case-insensitive, QR code friendly, optimized for SegWit and newer blockchain standards.</w:t>
      </w:r>
    </w:p>
    <w:p>
      <w:pPr>
        <w:pStyle w:val="Normal"/>
        <w:spacing w:lineRule="auto" w:line="360" w:before="0" w:after="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Address Length Considerations:</w:t>
      </w:r>
    </w:p>
    <w:p>
      <w:pPr>
        <w:pStyle w:val="Normal"/>
        <w:numPr>
          <w:ilvl w:val="0"/>
          <w:numId w:val="11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Target: 41 characters</w:t>
      </w:r>
      <w:r>
        <w:rPr>
          <w:rFonts w:cs="Times-Roman" w:ascii="Times-Roman" w:hAnsi="Times-Roman"/>
          <w:kern w:val="0"/>
          <w:sz w:val="20"/>
          <w:szCs w:val="20"/>
        </w:rPr>
        <w:t xml:space="preserve"> (if adjustable within Bech32m standard).</w:t>
      </w:r>
    </w:p>
    <w:p>
      <w:pPr>
        <w:pStyle w:val="Normal"/>
        <w:numPr>
          <w:ilvl w:val="0"/>
          <w:numId w:val="11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High entropy keyspace</w:t>
      </w:r>
      <w:r>
        <w:rPr>
          <w:rFonts w:cs="Times-Roman" w:ascii="Times-Roman" w:hAnsi="Times-Roman"/>
          <w:kern w:val="0"/>
          <w:sz w:val="20"/>
          <w:szCs w:val="20"/>
        </w:rPr>
        <w:t xml:space="preserve"> to prevent address collisions.</w:t>
      </w:r>
    </w:p>
    <w:p>
      <w:pPr>
        <w:pStyle w:val="Normal"/>
        <w:spacing w:lineRule="auto" w:line="360" w:before="0" w:after="0"/>
        <w:rPr>
          <w:rFonts w:ascii="Times-Roman" w:hAnsi="Times-Roman" w:cs="Times-Roman"/>
          <w:color w:val="6D6D6D"/>
          <w:kern w:val="0"/>
          <w:sz w:val="20"/>
          <w:szCs w:val="20"/>
        </w:rPr>
      </w:pPr>
      <w:r>
        <w:rPr>
          <w:rFonts w:cs="Times-Roman" w:ascii="Times-Roman" w:hAnsi="Times-Roman"/>
          <w:color w:val="6D6D6D"/>
          <w:kern w:val="0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-Bold" w:hAnsi="Times-Bold" w:cs="Times-Bold"/>
          <w:b/>
          <w:bCs/>
          <w:kern w:val="0"/>
        </w:rPr>
      </w:pPr>
      <w:r>
        <w:rPr>
          <w:rFonts w:cs="Times-Bold" w:ascii="Times-Bold" w:hAnsi="Times-Bold"/>
          <w:b/>
          <w:bCs/>
          <w:kern w:val="0"/>
        </w:rPr>
        <w:t>4. Address Generation Process</w:t>
      </w:r>
    </w:p>
    <w:p>
      <w:pPr>
        <w:pStyle w:val="Normal"/>
        <w:spacing w:lineRule="auto" w:line="360" w:before="0" w:after="0"/>
        <w:rPr>
          <w:rFonts w:ascii="Times-Bold" w:hAnsi="Times-Bold" w:cs="Times-Bold"/>
          <w:b/>
          <w:bCs/>
          <w:kern w:val="0"/>
          <w:sz w:val="16"/>
          <w:szCs w:val="16"/>
        </w:rPr>
      </w:pPr>
      <w:r>
        <w:rPr>
          <w:rFonts w:cs="Times-Bold" w:ascii="Times-Bold" w:hAnsi="Times-Bold"/>
          <w:b/>
          <w:bCs/>
          <w:kern w:val="0"/>
          <w:sz w:val="16"/>
          <w:szCs w:val="16"/>
        </w:rPr>
      </w:r>
    </w:p>
    <w:p>
      <w:pPr>
        <w:pStyle w:val="Normal"/>
        <w:numPr>
          <w:ilvl w:val="0"/>
          <w:numId w:val="12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Generate a Quantum-Safe Key Pair</w:t>
      </w:r>
    </w:p>
    <w:p>
      <w:pPr>
        <w:pStyle w:val="Normal"/>
        <w:numPr>
          <w:ilvl w:val="1"/>
          <w:numId w:val="12"/>
        </w:numPr>
        <w:tabs>
          <w:tab w:val="clear" w:pos="720"/>
          <w:tab w:val="left" w:pos="940" w:leader="none"/>
          <w:tab w:val="left" w:pos="1440" w:leader="none"/>
        </w:tabs>
        <w:spacing w:lineRule="auto" w:line="360" w:before="0" w:after="0"/>
        <w:ind w:hanging="1440" w:start="144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Default: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Dilithium-3 (CRYSTALS PQC Standard)</w:t>
      </w:r>
    </w:p>
    <w:p>
      <w:pPr>
        <w:pStyle w:val="Normal"/>
        <w:numPr>
          <w:ilvl w:val="1"/>
          <w:numId w:val="12"/>
        </w:numPr>
        <w:tabs>
          <w:tab w:val="clear" w:pos="720"/>
          <w:tab w:val="left" w:pos="940" w:leader="none"/>
          <w:tab w:val="left" w:pos="1440" w:leader="none"/>
        </w:tabs>
        <w:spacing w:lineRule="auto" w:line="360" w:before="0" w:after="0"/>
        <w:ind w:hanging="1440" w:start="144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Alternative: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Kyber (for hybrid encryption key generation)</w:t>
      </w:r>
    </w:p>
    <w:p>
      <w:pPr>
        <w:pStyle w:val="Normal"/>
        <w:tabs>
          <w:tab w:val="clear" w:pos="720"/>
          <w:tab w:val="left" w:pos="940" w:leader="none"/>
          <w:tab w:val="left" w:pos="1440" w:leader="none"/>
        </w:tabs>
        <w:spacing w:lineRule="auto" w:line="360" w:before="0" w:after="0"/>
        <w:ind w:start="1440"/>
        <w:rPr>
          <w:rFonts w:ascii="Times-Roman" w:hAnsi="Times-Roman" w:cs="Times-Roman"/>
          <w:kern w:val="0"/>
          <w:sz w:val="10"/>
          <w:szCs w:val="10"/>
        </w:rPr>
      </w:pPr>
      <w:r>
        <w:rPr>
          <w:rFonts w:cs="Times-Roman" w:ascii="Times-Roman" w:hAnsi="Times-Roman"/>
          <w:kern w:val="0"/>
          <w:sz w:val="10"/>
          <w:szCs w:val="10"/>
        </w:rPr>
      </w:r>
    </w:p>
    <w:p>
      <w:pPr>
        <w:pStyle w:val="Normal"/>
        <w:numPr>
          <w:ilvl w:val="0"/>
          <w:numId w:val="12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Compute Address Hash</w:t>
      </w:r>
    </w:p>
    <w:p>
      <w:pPr>
        <w:pStyle w:val="Normal"/>
        <w:numPr>
          <w:ilvl w:val="1"/>
          <w:numId w:val="12"/>
        </w:numPr>
        <w:tabs>
          <w:tab w:val="clear" w:pos="720"/>
          <w:tab w:val="left" w:pos="940" w:leader="none"/>
          <w:tab w:val="left" w:pos="1440" w:leader="none"/>
        </w:tabs>
        <w:spacing w:lineRule="auto" w:line="360" w:before="0" w:after="0"/>
        <w:ind w:hanging="1440" w:start="144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Hash public key using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SHA3-256 or BLAKE3</w:t>
      </w:r>
      <w:r>
        <w:rPr>
          <w:rFonts w:cs="Times-Roman" w:ascii="Times-Roman" w:hAnsi="Times-Roman"/>
          <w:kern w:val="0"/>
          <w:sz w:val="20"/>
          <w:szCs w:val="20"/>
        </w:rPr>
        <w:t xml:space="preserve"> (quantum-resistant choice).</w:t>
      </w:r>
    </w:p>
    <w:p>
      <w:pPr>
        <w:pStyle w:val="Normal"/>
        <w:numPr>
          <w:ilvl w:val="1"/>
          <w:numId w:val="12"/>
        </w:numPr>
        <w:tabs>
          <w:tab w:val="clear" w:pos="720"/>
          <w:tab w:val="left" w:pos="940" w:leader="none"/>
          <w:tab w:val="left" w:pos="1440" w:leader="none"/>
        </w:tabs>
        <w:spacing w:lineRule="auto" w:line="360" w:before="0" w:after="0"/>
        <w:ind w:hanging="1440" w:start="144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Encode with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Bech32m (fixed 41-character length, if configurable)</w:t>
      </w:r>
      <w:r>
        <w:rPr>
          <w:rFonts w:cs="Times-Roman" w:ascii="Times-Roman" w:hAnsi="Times-Roman"/>
          <w:kern w:val="0"/>
          <w:sz w:val="20"/>
          <w:szCs w:val="20"/>
        </w:rPr>
        <w:t>.</w:t>
      </w:r>
    </w:p>
    <w:p>
      <w:pPr>
        <w:pStyle w:val="Normal"/>
        <w:tabs>
          <w:tab w:val="clear" w:pos="720"/>
          <w:tab w:val="left" w:pos="940" w:leader="none"/>
          <w:tab w:val="left" w:pos="1440" w:leader="none"/>
        </w:tabs>
        <w:spacing w:lineRule="auto" w:line="360" w:before="0" w:after="0"/>
        <w:ind w:start="1440"/>
        <w:rPr>
          <w:rFonts w:ascii="Times-Roman" w:hAnsi="Times-Roman" w:cs="Times-Roman"/>
          <w:kern w:val="0"/>
          <w:sz w:val="12"/>
          <w:szCs w:val="12"/>
        </w:rPr>
      </w:pPr>
      <w:r>
        <w:rPr>
          <w:rFonts w:cs="Times-Roman" w:ascii="Times-Roman" w:hAnsi="Times-Roman"/>
          <w:kern w:val="0"/>
          <w:sz w:val="12"/>
          <w:szCs w:val="12"/>
        </w:rPr>
      </w:r>
    </w:p>
    <w:p>
      <w:pPr>
        <w:pStyle w:val="Normal"/>
        <w:numPr>
          <w:ilvl w:val="0"/>
          <w:numId w:val="12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Assign a Prefix (</w:t>
      </w:r>
      <w:r>
        <w:rPr>
          <w:rFonts w:cs="Courier New" w:ascii="Courier New" w:hAnsi="Courier New"/>
          <w:b/>
          <w:bCs/>
          <w:kern w:val="0"/>
          <w:sz w:val="18"/>
          <w:szCs w:val="18"/>
        </w:rPr>
        <w:t>sYnQ,</w:t>
      </w:r>
      <w:r>
        <w:rPr>
          <w:rFonts w:cs="Times-Roman" w:ascii="Times-Roman" w:hAnsi="Times-Roman"/>
          <w:b/>
          <w:bCs/>
          <w:kern w:val="0"/>
          <w:sz w:val="18"/>
          <w:szCs w:val="18"/>
        </w:rPr>
        <w:t xml:space="preserve"> </w:t>
      </w:r>
      <w:r>
        <w:rPr>
          <w:rFonts w:cs="Courier New" w:ascii="Courier New" w:hAnsi="Courier New"/>
          <w:b/>
          <w:bCs/>
          <w:kern w:val="0"/>
          <w:sz w:val="18"/>
          <w:szCs w:val="18"/>
        </w:rPr>
        <w:t xml:space="preserve">sYnU, </w:t>
      </w:r>
      <w:r>
        <w:rPr>
          <w:rFonts w:cs="Courier New" w:ascii="Courier New" w:hAnsi="Courier New"/>
          <w:b/>
          <w:bCs/>
          <w:kern w:val="0"/>
          <w:sz w:val="18"/>
          <w:szCs w:val="18"/>
        </w:rPr>
        <w:t>sYnX, or sYnZ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) Randomly</w:t>
      </w:r>
    </w:p>
    <w:p>
      <w:pPr>
        <w:pStyle w:val="Normal"/>
        <w:numPr>
          <w:ilvl w:val="1"/>
          <w:numId w:val="12"/>
        </w:numPr>
        <w:tabs>
          <w:tab w:val="clear" w:pos="720"/>
          <w:tab w:val="left" w:pos="940" w:leader="none"/>
          <w:tab w:val="left" w:pos="1440" w:leader="none"/>
        </w:tabs>
        <w:spacing w:lineRule="auto" w:line="360" w:before="0" w:after="0"/>
        <w:ind w:hanging="1440" w:start="144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Use a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secure random function</w:t>
      </w:r>
      <w:r>
        <w:rPr>
          <w:rFonts w:cs="Times-Roman" w:ascii="Times-Roman" w:hAnsi="Times-Roman"/>
          <w:kern w:val="0"/>
          <w:sz w:val="20"/>
          <w:szCs w:val="20"/>
        </w:rPr>
        <w:t xml:space="preserve"> to choose prefix.</w:t>
      </w:r>
    </w:p>
    <w:p>
      <w:pPr>
        <w:pStyle w:val="Normal"/>
        <w:numPr>
          <w:ilvl w:val="1"/>
          <w:numId w:val="12"/>
        </w:numPr>
        <w:tabs>
          <w:tab w:val="clear" w:pos="720"/>
          <w:tab w:val="left" w:pos="940" w:leader="none"/>
          <w:tab w:val="left" w:pos="1440" w:leader="none"/>
        </w:tabs>
        <w:spacing w:lineRule="auto" w:line="360" w:before="0" w:after="0"/>
        <w:ind w:hanging="1440" w:start="144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Append encoded hash to finalize address.</w:t>
      </w:r>
    </w:p>
    <w:p>
      <w:pPr>
        <w:pStyle w:val="Normal"/>
        <w:spacing w:lineRule="auto" w:line="360" w:before="0" w:after="0"/>
        <w:rPr>
          <w:rFonts w:ascii="Times-Roman" w:hAnsi="Times-Roman" w:cs="Times-Roman"/>
          <w:color w:val="6D6D6D"/>
          <w:kern w:val="0"/>
          <w:sz w:val="14"/>
          <w:szCs w:val="14"/>
        </w:rPr>
      </w:pPr>
      <w:r>
        <w:rPr>
          <w:rFonts w:cs="Times-Roman" w:ascii="Times-Roman" w:hAnsi="Times-Roman"/>
          <w:color w:val="6D6D6D"/>
          <w:kern w:val="0"/>
          <w:sz w:val="14"/>
          <w:szCs w:val="14"/>
        </w:rPr>
      </w:r>
    </w:p>
    <w:p>
      <w:pPr>
        <w:pStyle w:val="Normal"/>
        <w:spacing w:lineRule="auto" w:line="480" w:before="0" w:after="0"/>
        <w:rPr>
          <w:rFonts w:ascii="Times-Bold" w:hAnsi="Times-Bold" w:cs="Times-Bold"/>
          <w:b/>
          <w:bCs/>
          <w:kern w:val="0"/>
        </w:rPr>
      </w:pPr>
      <w:r>
        <w:rPr>
          <w:rFonts w:cs="Times-Bold" w:ascii="Times-Bold" w:hAnsi="Times-Bold"/>
          <w:b/>
          <w:bCs/>
          <w:kern w:val="0"/>
        </w:rPr>
        <w:t>5. Address Use Cases</w:t>
      </w:r>
    </w:p>
    <w:p>
      <w:pPr>
        <w:pStyle w:val="Normal"/>
        <w:spacing w:lineRule="auto" w:line="360" w:before="0" w:after="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5.1 Wallet Addresses</w:t>
      </w:r>
    </w:p>
    <w:p>
      <w:pPr>
        <w:pStyle w:val="Normal"/>
        <w:numPr>
          <w:ilvl w:val="0"/>
          <w:numId w:val="13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Standard user accounts.</w:t>
      </w:r>
    </w:p>
    <w:p>
      <w:pPr>
        <w:pStyle w:val="Normal"/>
        <w:numPr>
          <w:ilvl w:val="0"/>
          <w:numId w:val="13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Supports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quantum-resistant signing</w:t>
      </w:r>
      <w:r>
        <w:rPr>
          <w:rFonts w:cs="Times-Roman" w:ascii="Times-Roman" w:hAnsi="Times-Roman"/>
          <w:kern w:val="0"/>
          <w:sz w:val="20"/>
          <w:szCs w:val="20"/>
        </w:rPr>
        <w:t>.</w:t>
      </w:r>
    </w:p>
    <w:p>
      <w:pPr>
        <w:pStyle w:val="Normal"/>
        <w:tabs>
          <w:tab w:val="left" w:pos="220" w:leader="none"/>
          <w:tab w:val="left" w:pos="720" w:leader="none"/>
        </w:tabs>
        <w:spacing w:lineRule="auto" w:line="360" w:before="0" w:after="0"/>
        <w:ind w:start="720"/>
        <w:rPr>
          <w:rFonts w:ascii="Times-Roman" w:hAnsi="Times-Roman" w:cs="Times-Roman"/>
          <w:kern w:val="0"/>
          <w:sz w:val="12"/>
          <w:szCs w:val="12"/>
        </w:rPr>
      </w:pPr>
      <w:r>
        <w:rPr>
          <w:rFonts w:cs="Times-Roman" w:ascii="Times-Roman" w:hAnsi="Times-Roman"/>
          <w:kern w:val="0"/>
          <w:sz w:val="12"/>
          <w:szCs w:val="12"/>
        </w:rPr>
      </w:r>
    </w:p>
    <w:p>
      <w:pPr>
        <w:pStyle w:val="Normal"/>
        <w:spacing w:lineRule="auto" w:line="360" w:before="0" w:after="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5.2 Token Contract Addresses</w:t>
      </w:r>
    </w:p>
    <w:p>
      <w:pPr>
        <w:pStyle w:val="Normal"/>
        <w:numPr>
          <w:ilvl w:val="0"/>
          <w:numId w:val="14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Special format: </w:t>
      </w:r>
      <w:r>
        <w:rPr>
          <w:rFonts w:cs="Courier New" w:ascii="Courier New" w:hAnsi="Courier New"/>
          <w:kern w:val="0"/>
          <w:sz w:val="22"/>
          <w:szCs w:val="22"/>
        </w:rPr>
        <w:t>sYn</w:t>
      </w:r>
      <w:r>
        <w:rPr>
          <w:rFonts w:cs="Courier New" w:ascii="Courier New" w:hAnsi="Courier New"/>
          <w:kern w:val="0"/>
          <w:sz w:val="22"/>
          <w:szCs w:val="22"/>
        </w:rPr>
        <w:t>S</w:t>
      </w:r>
      <w:r>
        <w:rPr>
          <w:rFonts w:cs="Courier New" w:ascii="Courier New" w:hAnsi="Courier New"/>
          <w:kern w:val="0"/>
          <w:sz w:val="22"/>
          <w:szCs w:val="22"/>
        </w:rPr>
        <w:t>-CONTRACT-XXXX</w:t>
      </w:r>
      <w:r>
        <w:rPr>
          <w:rFonts w:cs="Courier New" w:ascii="Courier New" w:hAnsi="Courier New"/>
          <w:kern w:val="0"/>
          <w:sz w:val="22"/>
          <w:szCs w:val="22"/>
        </w:rPr>
        <w:t>X… OR sYnC-CONTRACT—XXXXX…</w:t>
      </w:r>
    </w:p>
    <w:p>
      <w:pPr>
        <w:pStyle w:val="Normal"/>
        <w:numPr>
          <w:ilvl w:val="0"/>
          <w:numId w:val="14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Prefixed to distinguish from regular addresses.</w:t>
      </w:r>
    </w:p>
    <w:p>
      <w:pPr>
        <w:pStyle w:val="Normal"/>
        <w:tabs>
          <w:tab w:val="left" w:pos="220" w:leader="none"/>
          <w:tab w:val="left" w:pos="720" w:leader="none"/>
        </w:tabs>
        <w:spacing w:lineRule="auto" w:line="360" w:before="0" w:after="0"/>
        <w:ind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cs="Times-Bold" w:ascii="Times-Bold" w:hAnsi="Times-Bold"/>
          <w:b/>
          <w:bCs/>
          <w:kern w:val="0"/>
          <w:sz w:val="20"/>
          <w:szCs w:val="20"/>
        </w:rPr>
        <w:t>5.3 Transaction Identifiers</w:t>
      </w:r>
    </w:p>
    <w:p>
      <w:pPr>
        <w:pStyle w:val="Normal"/>
        <w:numPr>
          <w:ilvl w:val="0"/>
          <w:numId w:val="15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Uses a similar encoding but prefixed with “</w:t>
      </w:r>
      <w:r>
        <w:rPr>
          <w:rFonts w:cs="Times-Roman" w:ascii="Times-Roman" w:hAnsi="Times-Roman"/>
          <w:kern w:val="0"/>
          <w:sz w:val="20"/>
          <w:szCs w:val="20"/>
        </w:rPr>
        <w:t>sYnC-Tx</w:t>
      </w:r>
      <w:r>
        <w:rPr>
          <w:rFonts w:cs="Courier New" w:ascii="Courier New" w:hAnsi="Courier New"/>
          <w:kern w:val="0"/>
          <w:sz w:val="22"/>
          <w:szCs w:val="22"/>
        </w:rPr>
        <w:t xml:space="preserve">n-” </w:t>
      </w:r>
      <w:r>
        <w:rPr>
          <w:rFonts w:cs="Courier New" w:ascii="Courier New" w:hAnsi="Courier New"/>
          <w:kern w:val="0"/>
          <w:sz w:val="22"/>
          <w:szCs w:val="22"/>
        </w:rPr>
        <w:t>or “sYnT-tXn-”</w:t>
      </w:r>
      <w:r>
        <w:rPr>
          <w:rFonts w:cs="Times-Roman" w:ascii="Times-Roman" w:hAnsi="Times-Roman"/>
          <w:kern w:val="0"/>
          <w:sz w:val="20"/>
          <w:szCs w:val="20"/>
        </w:rPr>
        <w:t>.</w:t>
      </w:r>
    </w:p>
    <w:p>
      <w:pPr>
        <w:pStyle w:val="Normal"/>
        <w:numPr>
          <w:ilvl w:val="0"/>
          <w:numId w:val="15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Example: </w:t>
      </w:r>
      <w:r>
        <w:rPr>
          <w:rFonts w:cs="Courier New" w:ascii="Courier New" w:hAnsi="Courier New"/>
          <w:kern w:val="0"/>
          <w:sz w:val="22"/>
          <w:szCs w:val="22"/>
        </w:rPr>
        <w:t>sYn</w:t>
      </w:r>
      <w:r>
        <w:rPr>
          <w:rFonts w:cs="Courier New" w:ascii="Courier New" w:hAnsi="Courier New"/>
          <w:kern w:val="0"/>
          <w:sz w:val="22"/>
          <w:szCs w:val="22"/>
        </w:rPr>
        <w:t>t-TxN</w:t>
      </w:r>
      <w:r>
        <w:rPr>
          <w:rFonts w:cs="Courier New" w:ascii="Courier New" w:hAnsi="Courier New"/>
          <w:kern w:val="0"/>
          <w:sz w:val="22"/>
          <w:szCs w:val="22"/>
        </w:rPr>
        <w:t>-abcdef123456</w:t>
      </w:r>
      <w:r>
        <w:rPr>
          <w:rFonts w:cs="Times-Roman" w:ascii="Times-Roman" w:hAnsi="Times-Roman"/>
          <w:kern w:val="0"/>
          <w:sz w:val="20"/>
          <w:szCs w:val="20"/>
        </w:rPr>
        <w:t>.</w:t>
      </w:r>
    </w:p>
    <w:p>
      <w:pPr>
        <w:pStyle w:val="Normal"/>
        <w:spacing w:lineRule="auto" w:line="360" w:before="0" w:after="0"/>
        <w:rPr>
          <w:rFonts w:ascii="Times-Roman" w:hAnsi="Times-Roman" w:cs="Times-Roman"/>
          <w:color w:val="6D6D6D"/>
          <w:kern w:val="0"/>
          <w:sz w:val="12"/>
          <w:szCs w:val="12"/>
        </w:rPr>
      </w:pPr>
      <w:r>
        <w:rPr>
          <w:rFonts w:cs="Times-Roman" w:ascii="Times-Roman" w:hAnsi="Times-Roman"/>
          <w:color w:val="6D6D6D"/>
          <w:kern w:val="0"/>
          <w:sz w:val="12"/>
          <w:szCs w:val="12"/>
        </w:rPr>
      </w:r>
    </w:p>
    <w:p>
      <w:pPr>
        <w:pStyle w:val="Normal"/>
        <w:spacing w:lineRule="auto" w:line="360" w:before="0" w:after="0"/>
        <w:rPr>
          <w:rFonts w:ascii="Times-Bold" w:hAnsi="Times-Bold" w:cs="Times-Bold"/>
          <w:b/>
          <w:bCs/>
          <w:kern w:val="0"/>
        </w:rPr>
      </w:pPr>
      <w:r>
        <w:rPr>
          <w:rFonts w:cs="Times-Bold" w:ascii="Times-Bold" w:hAnsi="Times-Bold"/>
          <w:b/>
          <w:bCs/>
          <w:kern w:val="0"/>
        </w:rPr>
        <w:t>6. Cross-Chain Compatibility &amp; Universal Meta-Addresses (UMA)</w:t>
      </w:r>
    </w:p>
    <w:p>
      <w:pPr>
        <w:pStyle w:val="Normal"/>
        <w:spacing w:lineRule="auto" w:line="360" w:before="0" w:after="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To enable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atomic swaps and interoperability</w:t>
      </w:r>
      <w:r>
        <w:rPr>
          <w:rFonts w:cs="Times-Roman" w:ascii="Times-Roman" w:hAnsi="Times-Roman"/>
          <w:kern w:val="0"/>
          <w:sz w:val="20"/>
          <w:szCs w:val="20"/>
        </w:rPr>
        <w:t>, addresses must:</w:t>
      </w:r>
    </w:p>
    <w:p>
      <w:pPr>
        <w:pStyle w:val="Normal"/>
        <w:numPr>
          <w:ilvl w:val="0"/>
          <w:numId w:val="16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Map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Synergy addresses</w:t>
      </w:r>
      <w:r>
        <w:rPr>
          <w:rFonts w:cs="Times-Roman" w:ascii="Times-Roman" w:hAnsi="Times-Roman"/>
          <w:kern w:val="0"/>
          <w:sz w:val="20"/>
          <w:szCs w:val="20"/>
        </w:rPr>
        <w:t xml:space="preserve"> to external chains (Ethereum, Bitcoin, Solana, etc.).</w:t>
      </w:r>
    </w:p>
    <w:p>
      <w:pPr>
        <w:pStyle w:val="Normal"/>
        <w:numPr>
          <w:ilvl w:val="0"/>
          <w:numId w:val="16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Use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threshold cryptography (FROST/TSS)</w:t>
      </w:r>
      <w:r>
        <w:rPr>
          <w:rFonts w:cs="Times-Roman" w:ascii="Times-Roman" w:hAnsi="Times-Roman"/>
          <w:kern w:val="0"/>
          <w:sz w:val="20"/>
          <w:szCs w:val="20"/>
        </w:rPr>
        <w:t xml:space="preserve"> for cross-chain transactions.</w:t>
      </w:r>
    </w:p>
    <w:p>
      <w:pPr>
        <w:pStyle w:val="Normal"/>
        <w:numPr>
          <w:ilvl w:val="0"/>
          <w:numId w:val="16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 xml:space="preserve">Support </w:t>
      </w:r>
      <w:r>
        <w:rPr>
          <w:rFonts w:cs="Times-Bold" w:ascii="Times-Bold" w:hAnsi="Times-Bold"/>
          <w:b/>
          <w:bCs/>
          <w:kern w:val="0"/>
          <w:sz w:val="20"/>
          <w:szCs w:val="20"/>
        </w:rPr>
        <w:t>Synergy Naming System (SNS)</w:t>
      </w:r>
      <w:r>
        <w:rPr>
          <w:rFonts w:cs="Times-Roman" w:ascii="Times-Roman" w:hAnsi="Times-Roman"/>
          <w:kern w:val="0"/>
          <w:sz w:val="20"/>
          <w:szCs w:val="20"/>
        </w:rPr>
        <w:t xml:space="preserve"> for human-readable names (</w:t>
      </w:r>
      <w:r>
        <w:rPr>
          <w:rFonts w:cs="Courier New" w:ascii="Courier New" w:hAnsi="Courier New"/>
          <w:kern w:val="0"/>
          <w:sz w:val="22"/>
          <w:szCs w:val="22"/>
        </w:rPr>
        <w:t>alice.syn</w:t>
      </w:r>
      <w:r>
        <w:rPr>
          <w:rFonts w:cs="Times-Roman" w:ascii="Times-Roman" w:hAnsi="Times-Roman"/>
          <w:kern w:val="0"/>
          <w:sz w:val="20"/>
          <w:szCs w:val="20"/>
        </w:rPr>
        <w:t>).</w:t>
      </w:r>
    </w:p>
    <w:p>
      <w:pPr>
        <w:pStyle w:val="Normal"/>
        <w:spacing w:lineRule="auto" w:line="360" w:before="0" w:after="0"/>
        <w:rPr>
          <w:rFonts w:ascii="Times-Roman" w:hAnsi="Times-Roman" w:cs="Times-Roman"/>
          <w:color w:val="6D6D6D"/>
          <w:kern w:val="0"/>
          <w:sz w:val="12"/>
          <w:szCs w:val="12"/>
        </w:rPr>
      </w:pPr>
      <w:r>
        <w:rPr>
          <w:rFonts w:cs="Times-Roman" w:ascii="Times-Roman" w:hAnsi="Times-Roman"/>
          <w:color w:val="6D6D6D"/>
          <w:kern w:val="0"/>
          <w:sz w:val="12"/>
          <w:szCs w:val="12"/>
        </w:rPr>
      </w:r>
    </w:p>
    <w:p>
      <w:pPr>
        <w:pStyle w:val="Normal"/>
        <w:spacing w:lineRule="auto" w:line="360" w:before="0" w:after="0"/>
        <w:rPr>
          <w:rFonts w:ascii="Times-Bold" w:hAnsi="Times-Bold" w:cs="Times-Bold"/>
          <w:b/>
          <w:bCs/>
          <w:kern w:val="0"/>
        </w:rPr>
      </w:pPr>
      <w:r>
        <w:rPr>
          <w:rFonts w:cs="Times-Bold" w:ascii="Times-Bold" w:hAnsi="Times-Bold"/>
          <w:b/>
          <w:bCs/>
          <w:kern w:val="0"/>
        </w:rPr>
        <w:t>7. Next Steps</w:t>
      </w:r>
    </w:p>
    <w:p>
      <w:pPr>
        <w:pStyle w:val="Normal"/>
        <w:numPr>
          <w:ilvl w:val="0"/>
          <w:numId w:val="17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Implement Bech32m encoding in the Synergy Wallet with 41-character target length.</w:t>
      </w:r>
    </w:p>
    <w:p>
      <w:pPr>
        <w:pStyle w:val="Normal"/>
        <w:numPr>
          <w:ilvl w:val="0"/>
          <w:numId w:val="17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Develop UMA resolution logic for cross-chain compatibility.</w:t>
      </w:r>
    </w:p>
    <w:p>
      <w:pPr>
        <w:pStyle w:val="Normal"/>
        <w:numPr>
          <w:ilvl w:val="0"/>
          <w:numId w:val="17"/>
        </w:numPr>
        <w:tabs>
          <w:tab w:val="left" w:pos="220" w:leader="none"/>
          <w:tab w:val="left" w:pos="720" w:leader="none"/>
        </w:tabs>
        <w:spacing w:lineRule="auto" w:line="360" w:before="0" w:after="0"/>
        <w:ind w:hanging="720" w:start="72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Finalize security benchmarking for quantum-safe cryptography.</w:t>
      </w:r>
    </w:p>
    <w:p>
      <w:pPr>
        <w:pStyle w:val="Normal"/>
        <w:spacing w:lineRule="auto" w:line="360" w:before="0" w:after="0"/>
        <w:rPr>
          <w:rFonts w:ascii="Times-Roman" w:hAnsi="Times-Roman" w:cs="Times-Roman"/>
          <w:color w:val="6D6D6D"/>
          <w:kern w:val="0"/>
          <w:sz w:val="20"/>
          <w:szCs w:val="20"/>
        </w:rPr>
      </w:pPr>
      <w:r>
        <w:rPr>
          <w:rFonts w:cs="Times-Roman" w:ascii="Times-Roman" w:hAnsi="Times-Roman"/>
          <w:color w:val="6D6D6D"/>
          <w:kern w:val="0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Times-Roman" w:hAnsi="Times-Roman" w:cs="Times-Roman"/>
          <w:kern w:val="0"/>
          <w:sz w:val="20"/>
          <w:szCs w:val="20"/>
        </w:rPr>
      </w:pPr>
      <w:r>
        <w:rPr>
          <w:rFonts w:cs="Times-Roman" w:ascii="Times-Roman" w:hAnsi="Times-Roman"/>
          <w:kern w:val="0"/>
          <w:sz w:val="20"/>
          <w:szCs w:val="20"/>
        </w:rPr>
        <w:t>This document will be updated as the address format evolves based on implementation and testing feedback.</w:t>
      </w:r>
    </w:p>
    <w:sectPr>
      <w:type w:val="nextPage"/>
      <w:pgSz w:w="12240" w:h="15840"/>
      <w:pgMar w:left="1440" w:right="1440" w:gutter="0" w:header="0" w:top="392" w:footer="0" w:bottom="13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-Bold">
    <w:charset w:val="01" w:characterSet="utf-8"/>
    <w:family w:val="roman"/>
    <w:pitch w:val="variable"/>
  </w:font>
  <w:font w:name="Times-Roman">
    <w:altName w:val="Times New Roman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12">
    <w:lvl w:ilvl="0">
      <w:start w:val="1"/>
      <w:numFmt w:val="decimal"/>
      <w:lvlText w:val="%1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bullet"/>
      <w:lvlText w:val="◦"/>
      <w:lvlJc w:val="start"/>
      <w:pPr>
        <w:tabs>
          <w:tab w:val="num" w:pos="0"/>
        </w:tabs>
        <w:ind w:start="1440" w:hanging="360"/>
      </w:pPr>
      <w:rPr>
        <w:rFonts w:ascii="OpenSymbol" w:hAnsi="OpenSymbol" w:cs="OpenSymbol" w:hint="default"/>
      </w:rPr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0"/>
      <w:numFmt w:val="decimal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0"/>
      <w:numFmt w:val="decimal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0"/>
      <w:numFmt w:val="decimal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0"/>
      <w:numFmt w:val="decimal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0"/>
      <w:numFmt w:val="decimal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0"/>
      <w:numFmt w:val="decimal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0"/>
      <w:numFmt w:val="decimal"/>
      <w:lvlText w:val="%9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160"/>
      <w:jc w:val="start"/>
    </w:pPr>
    <w:rPr>
      <w:rFonts w:ascii="Calibri" w:hAnsi="Calibri" w:eastAsia="Calibri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Calibri" w:cs="Noto Sans Arabic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Calibri" w:cs="Noto Sans Arabic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Noto Sans Arabic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Noto Sans Arabic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Noto Sans Arabic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Noto Sans Arabic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Noto Sans Arabic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Calibri" w:cs="Noto Sans Arabic"/>
      <w:color w:themeColor="accent1" w:themeShade="bf" w:val="2F5496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Calibri" w:cs="Noto Sans Arabic"/>
      <w:i/>
      <w:iCs/>
      <w:color w:themeColor="accent1" w:themeShade="bf" w:val="2F5496"/>
    </w:rPr>
  </w:style>
  <w:style w:type="character" w:styleId="Heading5Char">
    <w:name w:val="Heading 5 Char"/>
    <w:basedOn w:val="DefaultParagraphFont"/>
    <w:link w:val="Heading5"/>
    <w:qFormat/>
    <w:rPr>
      <w:rFonts w:eastAsia="Calibri" w:cs="Noto Sans Arabic"/>
      <w:color w:themeColor="accent1" w:themeShade="bf" w:val="2F5496"/>
    </w:rPr>
  </w:style>
  <w:style w:type="character" w:styleId="Heading6Char">
    <w:name w:val="Heading 6 Char"/>
    <w:basedOn w:val="DefaultParagraphFont"/>
    <w:link w:val="Heading6"/>
    <w:qFormat/>
    <w:rPr>
      <w:rFonts w:eastAsia="Calibri" w:cs="Noto Sans Arabic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Calibri" w:cs="Noto Sans Arabic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Calibri" w:cs="Noto Sans Arabic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Calibri" w:cs="Noto Sans Arabic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Calibri" w:cs="Noto Sans Arabic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Calibri" w:cs="Noto Sans Arabic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Calibri Light" w:hAnsi="Calibri Light" w:eastAsia="Calibri" w:cs="Noto Sans Arabic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Calibri" w:cs="Noto Sans Arabic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pacing w:before="360" w:after="360"/>
      <w:ind w:start="864" w:end="864"/>
      <w:jc w:val="center"/>
    </w:pPr>
    <w:rPr>
      <w:i/>
      <w:iCs/>
      <w:color w:themeColor="accent1" w:themeShade="bf" w:val="2F549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LibreOffice/24.2.7.2$Linux_X86_64 LibreOffice_project/420$Build-2</Application>
  <AppVersion>15.0000</AppVersion>
  <Pages>3</Pages>
  <Words>491</Words>
  <Characters>3311</Characters>
  <CharactersWithSpaces>3692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2025-02-25T23:29:00Z</dcterms:created>
  <dc:creator>Justin Hutzler</dc:creator>
  <dc:description/>
  <dc:language>en-US</dc:language>
  <cp:lastModifiedBy/>
  <dcterms:modified xsi:type="dcterms:W3CDTF">2025-07-06T09:04:15Z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