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sz w:val="32"/>
        </w:rPr>
        <w:t>SYNERGY DEVNET CONTROL PANEL</w:t>
      </w:r>
    </w:p>
    <w:p>
      <w:pPr>
        <w:spacing w:after="0"/>
      </w:pPr>
      <w:r>
        <w:rPr>
          <w:rFonts w:ascii="Calibri" w:hAnsi="Calibri" w:eastAsia="Calibri"/>
          <w:b w:val="0"/>
          <w:sz w:val="28"/>
        </w:rPr>
        <w:t>Release Notes</w:t>
      </w:r>
    </w:p>
    <w:p>
      <w:pPr>
        <w:spacing w:after="0"/>
      </w:pPr>
      <w:r>
        <w:rPr>
          <w:rFonts w:ascii="Calibri" w:hAnsi="Calibri" w:eastAsia="Calibri"/>
          <w:b w:val="0"/>
          <w:sz w:val="24"/>
        </w:rPr>
        <w:t>Version 3.0.0</w:t>
      </w:r>
    </w:p>
    <w:p>
      <w:pPr>
        <w:spacing w:after="200"/>
      </w:pPr>
      <w:r>
        <w:rPr>
          <w:rFonts w:ascii="Calibri" w:hAnsi="Calibri" w:eastAsia="Calibri"/>
          <w:b w:val="0"/>
          <w:sz w:val="21"/>
        </w:rPr>
        <w:t>March 2026</w:t>
      </w:r>
    </w:p>
    <w:p/>
    <w:tbl>
      <w:tblPr>
        <w:tblStyle w:val="TableGrid"/>
        <w:tblW w:type="auto" w:w="0"/>
        <w:jc w:val="left"/>
        <w:tblLook w:firstColumn="1" w:firstRow="1" w:lastColumn="0" w:lastRow="0" w:noHBand="0" w:noVBand="1" w:val="04A0"/>
      </w:tblPr>
      <w:tblGrid>
        <w:gridCol w:w="4968"/>
        <w:gridCol w:w="4968"/>
      </w:tblGrid>
      <w:tr>
        <w:tc>
          <w:tcPr>
            <w:tcW w:type="dxa" w:w="2304"/>
            <w:vAlign w:val="center"/>
          </w:tcPr>
          <w:p>
            <w:pPr>
              <w:spacing w:after="0"/>
            </w:pPr>
            <w:r>
              <w:rPr>
                <w:rFonts w:ascii="Calibri" w:hAnsi="Calibri" w:eastAsia="Calibri"/>
                <w:sz w:val="20"/>
              </w:rPr>
            </w:r>
            <w:r>
              <w:rPr>
                <w:rFonts w:ascii="Calibri" w:hAnsi="Calibri" w:eastAsia="Calibri"/>
                <w:b/>
                <w:sz w:val="20"/>
              </w:rPr>
              <w:t>Version</w:t>
            </w:r>
          </w:p>
        </w:tc>
        <w:tc>
          <w:tcPr>
            <w:tcW w:type="dxa" w:w="6912"/>
            <w:vAlign w:val="center"/>
          </w:tcPr>
          <w:p>
            <w:pPr>
              <w:spacing w:after="0"/>
            </w:pPr>
            <w:r>
              <w:rPr>
                <w:rFonts w:ascii="Calibri" w:hAnsi="Calibri" w:eastAsia="Calibri"/>
                <w:sz w:val="20"/>
              </w:rPr>
            </w:r>
            <w:r>
              <w:rPr>
                <w:rFonts w:ascii="Calibri" w:hAnsi="Calibri" w:eastAsia="Calibri"/>
                <w:b w:val="0"/>
                <w:sz w:val="20"/>
              </w:rPr>
              <w:t>v3.0.0</w:t>
            </w:r>
          </w:p>
        </w:tc>
      </w:tr>
      <w:tr>
        <w:tc>
          <w:tcPr>
            <w:tcW w:type="dxa" w:w="2304"/>
            <w:vAlign w:val="center"/>
          </w:tcPr>
          <w:p>
            <w:pPr>
              <w:spacing w:after="0"/>
            </w:pPr>
            <w:r>
              <w:rPr>
                <w:rFonts w:ascii="Calibri" w:hAnsi="Calibri" w:eastAsia="Calibri"/>
                <w:sz w:val="20"/>
              </w:rPr>
            </w:r>
            <w:r>
              <w:rPr>
                <w:rFonts w:ascii="Calibri" w:hAnsi="Calibri" w:eastAsia="Calibri"/>
                <w:b/>
                <w:sz w:val="20"/>
              </w:rPr>
              <w:t>Release Date</w:t>
            </w:r>
          </w:p>
        </w:tc>
        <w:tc>
          <w:tcPr>
            <w:tcW w:type="dxa" w:w="6912"/>
            <w:vAlign w:val="center"/>
          </w:tcPr>
          <w:p>
            <w:pPr>
              <w:spacing w:after="0"/>
            </w:pPr>
            <w:r>
              <w:rPr>
                <w:rFonts w:ascii="Calibri" w:hAnsi="Calibri" w:eastAsia="Calibri"/>
                <w:sz w:val="20"/>
              </w:rPr>
            </w:r>
            <w:r>
              <w:rPr>
                <w:rFonts w:ascii="Calibri" w:hAnsi="Calibri" w:eastAsia="Calibri"/>
                <w:b w:val="0"/>
                <w:sz w:val="20"/>
              </w:rPr>
              <w:t>March 2026</w:t>
            </w:r>
          </w:p>
        </w:tc>
      </w:tr>
      <w:tr>
        <w:tc>
          <w:tcPr>
            <w:tcW w:type="dxa" w:w="2304"/>
            <w:vAlign w:val="center"/>
          </w:tcPr>
          <w:p>
            <w:pPr>
              <w:spacing w:after="0"/>
            </w:pPr>
            <w:r>
              <w:rPr>
                <w:rFonts w:ascii="Calibri" w:hAnsi="Calibri" w:eastAsia="Calibri"/>
                <w:sz w:val="20"/>
              </w:rPr>
            </w:r>
            <w:r>
              <w:rPr>
                <w:rFonts w:ascii="Calibri" w:hAnsi="Calibri" w:eastAsia="Calibri"/>
                <w:b/>
                <w:sz w:val="20"/>
              </w:rPr>
              <w:t>Product</w:t>
            </w:r>
          </w:p>
        </w:tc>
        <w:tc>
          <w:tcPr>
            <w:tcW w:type="dxa" w:w="6912"/>
            <w:vAlign w:val="center"/>
          </w:tcPr>
          <w:p>
            <w:pPr>
              <w:spacing w:after="0"/>
            </w:pPr>
            <w:r>
              <w:rPr>
                <w:rFonts w:ascii="Calibri" w:hAnsi="Calibri" w:eastAsia="Calibri"/>
                <w:sz w:val="20"/>
              </w:rPr>
            </w:r>
            <w:r>
              <w:rPr>
                <w:rFonts w:ascii="Calibri" w:hAnsi="Calibri" w:eastAsia="Calibri"/>
                <w:b w:val="0"/>
                <w:sz w:val="20"/>
              </w:rPr>
              <w:t>Synergy Devnet Control Panel</w:t>
            </w:r>
          </w:p>
        </w:tc>
      </w:tr>
      <w:tr>
        <w:tc>
          <w:tcPr>
            <w:tcW w:type="dxa" w:w="2304"/>
            <w:vAlign w:val="center"/>
          </w:tcPr>
          <w:p>
            <w:pPr>
              <w:spacing w:after="0"/>
            </w:pPr>
            <w:r>
              <w:rPr>
                <w:rFonts w:ascii="Calibri" w:hAnsi="Calibri" w:eastAsia="Calibri"/>
                <w:sz w:val="20"/>
              </w:rPr>
            </w:r>
            <w:r>
              <w:rPr>
                <w:rFonts w:ascii="Calibri" w:hAnsi="Calibri" w:eastAsia="Calibri"/>
                <w:b/>
                <w:sz w:val="20"/>
              </w:rPr>
              <w:t>Components</w:t>
            </w:r>
          </w:p>
        </w:tc>
        <w:tc>
          <w:tcPr>
            <w:tcW w:type="dxa" w:w="6912"/>
            <w:vAlign w:val="center"/>
          </w:tcPr>
          <w:p>
            <w:pPr>
              <w:spacing w:after="0"/>
            </w:pPr>
            <w:r>
              <w:rPr>
                <w:rFonts w:ascii="Calibri" w:hAnsi="Calibri" w:eastAsia="Calibri"/>
                <w:sz w:val="20"/>
              </w:rPr>
            </w:r>
            <w:r>
              <w:rPr>
                <w:rFonts w:ascii="Calibri" w:hAnsi="Calibri" w:eastAsia="Calibri"/>
                <w:b w:val="0"/>
                <w:sz w:val="20"/>
              </w:rPr>
              <w:t>Tauri Backend (Rust) • React Frontend • Agent Services • Release Packaging</w:t>
            </w:r>
          </w:p>
        </w:tc>
      </w:tr>
      <w:tr>
        <w:tc>
          <w:tcPr>
            <w:tcW w:type="dxa" w:w="2304"/>
            <w:vAlign w:val="center"/>
          </w:tcPr>
          <w:p>
            <w:pPr>
              <w:spacing w:after="0"/>
            </w:pPr>
            <w:r>
              <w:rPr>
                <w:rFonts w:ascii="Calibri" w:hAnsi="Calibri" w:eastAsia="Calibri"/>
                <w:sz w:val="20"/>
              </w:rPr>
            </w:r>
            <w:r>
              <w:rPr>
                <w:rFonts w:ascii="Calibri" w:hAnsi="Calibri" w:eastAsia="Calibri"/>
                <w:b/>
                <w:sz w:val="20"/>
              </w:rPr>
              <w:t>Status</w:t>
            </w:r>
          </w:p>
        </w:tc>
        <w:tc>
          <w:tcPr>
            <w:tcW w:type="dxa" w:w="6912"/>
            <w:vAlign w:val="center"/>
          </w:tcPr>
          <w:p>
            <w:pPr>
              <w:spacing w:after="0"/>
            </w:pPr>
            <w:r>
              <w:rPr>
                <w:rFonts w:ascii="Calibri" w:hAnsi="Calibri" w:eastAsia="Calibri"/>
                <w:sz w:val="20"/>
              </w:rPr>
            </w:r>
            <w:r>
              <w:rPr>
                <w:rFonts w:ascii="Calibri" w:hAnsi="Calibri" w:eastAsia="Calibri"/>
                <w:b w:val="0"/>
                <w:sz w:val="20"/>
              </w:rPr>
              <w:t>Major Release — Ready for Deployment</w:t>
            </w:r>
          </w:p>
        </w:tc>
      </w:tr>
    </w:tbl>
    <w:p/>
    <w:p>
      <w:pPr>
        <w:pStyle w:val="Heading1"/>
        <w:spacing w:before="80"/>
      </w:pPr>
      <w:r>
        <w:t>Executive Summary</w:t>
      </w:r>
    </w:p>
    <w:p>
      <w:pPr>
        <w:spacing w:after="160"/>
      </w:pPr>
      <w:r>
        <w:t>Release v3.0.0 upgrades the control panel from a remote-agent recovery tool into a fully packaged operator workstation. Desktop installers now bundle the devnet-agent sidecars needed for remote deployment, the node detail page can reinstall and restart the local agent without SSH keys when opened on the target machine, and the monitor experience has been redesigned around clearer metrics and faster per-node controls.</w:t>
      </w:r>
    </w:p>
    <w:p>
      <w:pPr>
        <w:spacing w:after="160"/>
      </w:pPr>
      <w:r>
        <w:t>Key outcomes: release installers carry the service-agent payloads required for deployment, operators can repair agents locally from the affected machine, live dashboard cards now expose actual average block time and throughput, and the network monitor has been reorganised to reduce friction during daily operations.</w:t>
      </w:r>
    </w:p>
    <w:p>
      <w:pPr>
        <w:pStyle w:val="Heading1"/>
      </w:pPr>
      <w:r>
        <w:t>Change Log Summary</w:t>
      </w:r>
    </w:p>
    <w:tbl>
      <w:tblPr>
        <w:tblStyle w:val="TableGrid"/>
        <w:tblW w:type="auto" w:w="0"/>
        <w:jc w:val="left"/>
        <w:tblLook w:firstColumn="1" w:firstRow="1" w:lastColumn="0" w:lastRow="0" w:noHBand="0" w:noVBand="1" w:val="04A0"/>
      </w:tblPr>
      <w:tblGrid>
        <w:gridCol w:w="3312"/>
        <w:gridCol w:w="3312"/>
        <w:gridCol w:w="3312"/>
      </w:tblGrid>
      <w:tr>
        <w:tc>
          <w:tcPr>
            <w:tcW w:type="dxa" w:w="3312"/>
            <w:vAlign w:val="center"/>
            <w:shd w:fill="D9EAF7"/>
          </w:tcPr>
          <w:p>
            <w:pPr>
              <w:spacing w:after="0"/>
            </w:pPr>
            <w:r>
              <w:rPr>
                <w:rFonts w:ascii="Calibri" w:hAnsi="Calibri" w:eastAsia="Calibri"/>
                <w:sz w:val="20"/>
              </w:rPr>
            </w:r>
            <w:r>
              <w:rPr>
                <w:rFonts w:ascii="Calibri" w:hAnsi="Calibri" w:eastAsia="Calibri"/>
                <w:b/>
                <w:sz w:val="20"/>
              </w:rPr>
              <w:t>Type</w:t>
            </w:r>
          </w:p>
        </w:tc>
        <w:tc>
          <w:tcPr>
            <w:tcW w:type="dxa" w:w="3312"/>
            <w:vAlign w:val="center"/>
            <w:shd w:fill="D9EAF7"/>
          </w:tcPr>
          <w:p>
            <w:pPr>
              <w:spacing w:after="0"/>
            </w:pPr>
            <w:r>
              <w:rPr>
                <w:rFonts w:ascii="Calibri" w:hAnsi="Calibri" w:eastAsia="Calibri"/>
                <w:sz w:val="20"/>
              </w:rPr>
            </w:r>
            <w:r>
              <w:rPr>
                <w:rFonts w:ascii="Calibri" w:hAnsi="Calibri" w:eastAsia="Calibri"/>
                <w:b/>
                <w:sz w:val="20"/>
              </w:rPr>
              <w:t>Area</w:t>
            </w:r>
          </w:p>
        </w:tc>
        <w:tc>
          <w:tcPr>
            <w:tcW w:type="dxa" w:w="3312"/>
            <w:vAlign w:val="center"/>
            <w:shd w:fill="D9EAF7"/>
          </w:tcPr>
          <w:p>
            <w:pPr>
              <w:spacing w:after="0"/>
            </w:pPr>
            <w:r>
              <w:rPr>
                <w:rFonts w:ascii="Calibri" w:hAnsi="Calibri" w:eastAsia="Calibri"/>
                <w:sz w:val="20"/>
              </w:rPr>
            </w:r>
            <w:r>
              <w:rPr>
                <w:rFonts w:ascii="Calibri" w:hAnsi="Calibri" w:eastAsia="Calibri"/>
                <w:b/>
                <w:sz w:val="20"/>
              </w:rPr>
              <w:t>Description</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Release Pipeline</w:t>
            </w:r>
          </w:p>
        </w:tc>
        <w:tc>
          <w:tcPr>
            <w:tcW w:type="dxa" w:w="3312"/>
            <w:vAlign w:val="center"/>
          </w:tcPr>
          <w:p>
            <w:pPr>
              <w:spacing w:after="0"/>
            </w:pPr>
            <w:r>
              <w:rPr>
                <w:rFonts w:ascii="Calibri" w:hAnsi="Calibri" w:eastAsia="Calibri"/>
                <w:sz w:val="20"/>
              </w:rPr>
            </w:r>
            <w:r>
              <w:rPr>
                <w:rFonts w:ascii="Calibri" w:hAnsi="Calibri" w:eastAsia="Calibri"/>
                <w:b w:val="0"/>
                <w:sz w:val="20"/>
              </w:rPr>
              <w:t>GitHub Actions now builds agent sidecars per target platform and bundles them into the shipped Tauri installers.</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Build Tooling</w:t>
            </w:r>
          </w:p>
        </w:tc>
        <w:tc>
          <w:tcPr>
            <w:tcW w:type="dxa" w:w="3312"/>
            <w:vAlign w:val="center"/>
          </w:tcPr>
          <w:p>
            <w:pPr>
              <w:spacing w:after="0"/>
            </w:pPr>
            <w:r>
              <w:rPr>
                <w:rFonts w:ascii="Calibri" w:hAnsi="Calibri" w:eastAsia="Calibri"/>
                <w:sz w:val="20"/>
              </w:rPr>
            </w:r>
            <w:r>
              <w:rPr>
                <w:rFonts w:ascii="Calibri" w:hAnsi="Calibri" w:eastAsia="Calibri"/>
                <w:b w:val="0"/>
                <w:sz w:val="20"/>
              </w:rPr>
              <w:t>scripts/build-sidecars.sh now supports native, Linux, Windows, and --all sidecar builds with cargo-zigbuild guidance.</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Agent Management</w:t>
            </w:r>
          </w:p>
        </w:tc>
        <w:tc>
          <w:tcPr>
            <w:tcW w:type="dxa" w:w="3312"/>
            <w:vAlign w:val="center"/>
          </w:tcPr>
          <w:p>
            <w:pPr>
              <w:spacing w:after="0"/>
            </w:pPr>
            <w:r>
              <w:rPr>
                <w:rFonts w:ascii="Calibri" w:hAnsi="Calibri" w:eastAsia="Calibri"/>
                <w:sz w:val="20"/>
              </w:rPr>
            </w:r>
            <w:r>
              <w:rPr>
                <w:rFonts w:ascii="Calibri" w:hAnsi="Calibri" w:eastAsia="Calibri"/>
                <w:b w:val="0"/>
                <w:sz w:val="20"/>
              </w:rPr>
              <w:t>Node detail page can perform same-machine local agent reinstall and restart without SSH keys via Update Local Agent.</w:t>
            </w:r>
          </w:p>
        </w:tc>
      </w:tr>
      <w:tr>
        <w:tc>
          <w:tcPr>
            <w:tcW w:type="dxa" w:w="3312"/>
            <w:vAlign w:val="center"/>
          </w:tcPr>
          <w:p>
            <w:pPr>
              <w:spacing w:after="0"/>
            </w:pPr>
            <w:r>
              <w:rPr>
                <w:rFonts w:ascii="Calibri" w:hAnsi="Calibri" w:eastAsia="Calibri"/>
                <w:sz w:val="20"/>
              </w:rPr>
            </w:r>
            <w:r>
              <w:rPr>
                <w:rFonts w:ascii="Calibri" w:hAnsi="Calibri" w:eastAsia="Calibri"/>
                <w:b w:val="0"/>
                <w:sz w:val="20"/>
              </w:rPr>
              <w:t>FIX</w:t>
            </w:r>
          </w:p>
        </w:tc>
        <w:tc>
          <w:tcPr>
            <w:tcW w:type="dxa" w:w="3312"/>
            <w:vAlign w:val="center"/>
          </w:tcPr>
          <w:p>
            <w:pPr>
              <w:spacing w:after="0"/>
            </w:pPr>
            <w:r>
              <w:rPr>
                <w:rFonts w:ascii="Calibri" w:hAnsi="Calibri" w:eastAsia="Calibri"/>
                <w:sz w:val="20"/>
              </w:rPr>
            </w:r>
            <w:r>
              <w:rPr>
                <w:rFonts w:ascii="Calibri" w:hAnsi="Calibri" w:eastAsia="Calibri"/>
                <w:b w:val="0"/>
                <w:sz w:val="20"/>
              </w:rPr>
              <w:t>Agent Runtime</w:t>
            </w:r>
          </w:p>
        </w:tc>
        <w:tc>
          <w:tcPr>
            <w:tcW w:type="dxa" w:w="3312"/>
            <w:vAlign w:val="center"/>
          </w:tcPr>
          <w:p>
            <w:pPr>
              <w:spacing w:after="0"/>
            </w:pPr>
            <w:r>
              <w:rPr>
                <w:rFonts w:ascii="Calibri" w:hAnsi="Calibri" w:eastAsia="Calibri"/>
                <w:sz w:val="20"/>
              </w:rPr>
            </w:r>
            <w:r>
              <w:rPr>
                <w:rFonts w:ascii="Calibri" w:hAnsi="Calibri" w:eastAsia="Calibri"/>
                <w:b w:val="0"/>
                <w:sz w:val="20"/>
              </w:rPr>
              <w:t>Local agent binary replacement is now atomic and autostart reload/restart paths are validated on launchd/systemd.</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Monitoring</w:t>
            </w:r>
          </w:p>
        </w:tc>
        <w:tc>
          <w:tcPr>
            <w:tcW w:type="dxa" w:w="3312"/>
            <w:vAlign w:val="center"/>
          </w:tcPr>
          <w:p>
            <w:pPr>
              <w:spacing w:after="0"/>
            </w:pPr>
            <w:r>
              <w:rPr>
                <w:rFonts w:ascii="Calibri" w:hAnsi="Calibri" w:eastAsia="Calibri"/>
                <w:sz w:val="20"/>
              </w:rPr>
            </w:r>
            <w:r>
              <w:rPr>
                <w:rFonts w:ascii="Calibri" w:hAnsi="Calibri" w:eastAsia="Calibri"/>
                <w:b w:val="0"/>
                <w:sz w:val="20"/>
              </w:rPr>
              <w:t>Dashboard snapshot now includes live average block time and throughput metrics derived from RPC node status and latest block data.</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Dashboard UX</w:t>
            </w:r>
          </w:p>
        </w:tc>
        <w:tc>
          <w:tcPr>
            <w:tcW w:type="dxa" w:w="3312"/>
            <w:vAlign w:val="center"/>
          </w:tcPr>
          <w:p>
            <w:pPr>
              <w:spacing w:after="0"/>
            </w:pPr>
            <w:r>
              <w:rPr>
                <w:rFonts w:ascii="Calibri" w:hAnsi="Calibri" w:eastAsia="Calibri"/>
                <w:sz w:val="20"/>
              </w:rPr>
            </w:r>
            <w:r>
              <w:rPr>
                <w:rFonts w:ascii="Calibri" w:hAnsi="Calibri" w:eastAsia="Calibri"/>
                <w:b w:val="0"/>
                <w:sz w:val="20"/>
              </w:rPr>
              <w:t>Network monitor summary cards, action layout, agent reachability column, auto-refresh placement, and row-level controls were redesigned.</w:t>
            </w:r>
          </w:p>
        </w:tc>
      </w:tr>
      <w:tr>
        <w:tc>
          <w:tcPr>
            <w:tcW w:type="dxa" w:w="3312"/>
            <w:vAlign w:val="center"/>
          </w:tcPr>
          <w:p>
            <w:pPr>
              <w:spacing w:after="0"/>
            </w:pPr>
            <w:r>
              <w:rPr>
                <w:rFonts w:ascii="Calibri" w:hAnsi="Calibri" w:eastAsia="Calibri"/>
                <w:sz w:val="20"/>
              </w:rPr>
            </w:r>
            <w:r>
              <w:rPr>
                <w:rFonts w:ascii="Calibri" w:hAnsi="Calibri" w:eastAsia="Calibri"/>
                <w:b w:val="0"/>
                <w:sz w:val="20"/>
              </w:rPr>
              <w:t>FEATURE</w:t>
            </w:r>
          </w:p>
        </w:tc>
        <w:tc>
          <w:tcPr>
            <w:tcW w:type="dxa" w:w="3312"/>
            <w:vAlign w:val="center"/>
          </w:tcPr>
          <w:p>
            <w:pPr>
              <w:spacing w:after="0"/>
            </w:pPr>
            <w:r>
              <w:rPr>
                <w:rFonts w:ascii="Calibri" w:hAnsi="Calibri" w:eastAsia="Calibri"/>
                <w:sz w:val="20"/>
              </w:rPr>
            </w:r>
            <w:r>
              <w:rPr>
                <w:rFonts w:ascii="Calibri" w:hAnsi="Calibri" w:eastAsia="Calibri"/>
                <w:b w:val="0"/>
                <w:sz w:val="20"/>
              </w:rPr>
              <w:t>Navigation</w:t>
            </w:r>
          </w:p>
        </w:tc>
        <w:tc>
          <w:tcPr>
            <w:tcW w:type="dxa" w:w="3312"/>
            <w:vAlign w:val="center"/>
          </w:tcPr>
          <w:p>
            <w:pPr>
              <w:spacing w:after="0"/>
            </w:pPr>
            <w:r>
              <w:rPr>
                <w:rFonts w:ascii="Calibri" w:hAnsi="Calibri" w:eastAsia="Calibri"/>
                <w:sz w:val="20"/>
              </w:rPr>
            </w:r>
            <w:r>
              <w:rPr>
                <w:rFonts w:ascii="Calibri" w:hAnsi="Calibri" w:eastAsia="Calibri"/>
                <w:b w:val="0"/>
                <w:sz w:val="20"/>
              </w:rPr>
              <w:t>Header updater status moved left, buttons were normalised, Settings became Operator Settings, and lab/SXCP pages were retitled and refreshed.</w:t>
            </w:r>
          </w:p>
        </w:tc>
      </w:tr>
      <w:tr>
        <w:tc>
          <w:tcPr>
            <w:tcW w:type="dxa" w:w="3312"/>
            <w:vAlign w:val="center"/>
          </w:tcPr>
          <w:p>
            <w:pPr>
              <w:spacing w:after="0"/>
            </w:pPr>
            <w:r>
              <w:rPr>
                <w:rFonts w:ascii="Calibri" w:hAnsi="Calibri" w:eastAsia="Calibri"/>
                <w:sz w:val="20"/>
              </w:rPr>
            </w:r>
            <w:r>
              <w:rPr>
                <w:rFonts w:ascii="Calibri" w:hAnsi="Calibri" w:eastAsia="Calibri"/>
                <w:b w:val="0"/>
                <w:sz w:val="20"/>
              </w:rPr>
              <w:t>FIX</w:t>
            </w:r>
          </w:p>
        </w:tc>
        <w:tc>
          <w:tcPr>
            <w:tcW w:type="dxa" w:w="3312"/>
            <w:vAlign w:val="center"/>
          </w:tcPr>
          <w:p>
            <w:pPr>
              <w:spacing w:after="0"/>
            </w:pPr>
            <w:r>
              <w:rPr>
                <w:rFonts w:ascii="Calibri" w:hAnsi="Calibri" w:eastAsia="Calibri"/>
                <w:sz w:val="20"/>
              </w:rPr>
            </w:r>
            <w:r>
              <w:rPr>
                <w:rFonts w:ascii="Calibri" w:hAnsi="Calibri" w:eastAsia="Calibri"/>
                <w:b w:val="0"/>
                <w:sz w:val="20"/>
              </w:rPr>
              <w:t>Sync and Reset</w:t>
            </w:r>
          </w:p>
        </w:tc>
        <w:tc>
          <w:tcPr>
            <w:tcW w:type="dxa" w:w="3312"/>
            <w:vAlign w:val="center"/>
          </w:tcPr>
          <w:p>
            <w:pPr>
              <w:spacing w:after="0"/>
            </w:pPr>
            <w:r>
              <w:rPr>
                <w:rFonts w:ascii="Calibri" w:hAnsi="Calibri" w:eastAsia="Calibri"/>
                <w:sz w:val="20"/>
              </w:rPr>
            </w:r>
            <w:r>
              <w:rPr>
                <w:rFonts w:ascii="Calibri" w:hAnsi="Calibri" w:eastAsia="Calibri"/>
                <w:b w:val="0"/>
                <w:sz w:val="20"/>
              </w:rPr>
              <w:t>sync_node now routes cleanly through nodectl sync fallback, single-node reset triggers explorer reindex, and pre-start sync attempts are individually time-capped.</w:t>
            </w:r>
          </w:p>
        </w:tc>
      </w:tr>
      <w:tr>
        <w:tc>
          <w:tcPr>
            <w:tcW w:type="dxa" w:w="3312"/>
            <w:vAlign w:val="center"/>
          </w:tcPr>
          <w:p>
            <w:pPr>
              <w:spacing w:after="0"/>
            </w:pPr>
            <w:r>
              <w:rPr>
                <w:rFonts w:ascii="Calibri" w:hAnsi="Calibri" w:eastAsia="Calibri"/>
                <w:sz w:val="20"/>
              </w:rPr>
            </w:r>
            <w:r>
              <w:rPr>
                <w:rFonts w:ascii="Calibri" w:hAnsi="Calibri" w:eastAsia="Calibri"/>
                <w:b w:val="0"/>
                <w:sz w:val="20"/>
              </w:rPr>
              <w:t>DOCS</w:t>
            </w:r>
          </w:p>
        </w:tc>
        <w:tc>
          <w:tcPr>
            <w:tcW w:type="dxa" w:w="3312"/>
            <w:vAlign w:val="center"/>
          </w:tcPr>
          <w:p>
            <w:pPr>
              <w:spacing w:after="0"/>
            </w:pPr>
            <w:r>
              <w:rPr>
                <w:rFonts w:ascii="Calibri" w:hAnsi="Calibri" w:eastAsia="Calibri"/>
                <w:sz w:val="20"/>
              </w:rPr>
            </w:r>
            <w:r>
              <w:rPr>
                <w:rFonts w:ascii="Calibri" w:hAnsi="Calibri" w:eastAsia="Calibri"/>
                <w:b w:val="0"/>
                <w:sz w:val="20"/>
              </w:rPr>
              <w:t>Operations</w:t>
            </w:r>
          </w:p>
        </w:tc>
        <w:tc>
          <w:tcPr>
            <w:tcW w:type="dxa" w:w="3312"/>
            <w:vAlign w:val="center"/>
          </w:tcPr>
          <w:p>
            <w:pPr>
              <w:spacing w:after="0"/>
            </w:pPr>
            <w:r>
              <w:rPr>
                <w:rFonts w:ascii="Calibri" w:hAnsi="Calibri" w:eastAsia="Calibri"/>
                <w:sz w:val="20"/>
              </w:rPr>
            </w:r>
            <w:r>
              <w:rPr>
                <w:rFonts w:ascii="Calibri" w:hAnsi="Calibri" w:eastAsia="Calibri"/>
                <w:b w:val="0"/>
                <w:sz w:val="20"/>
              </w:rPr>
              <w:t>Added COMMANDS.md / COMMANDS.docx operator reference documentation under docs/reference/.</w:t>
            </w:r>
          </w:p>
        </w:tc>
      </w:tr>
    </w:tbl>
    <w:p/>
    <w:p>
      <w:pPr>
        <w:pStyle w:val="Heading1"/>
      </w:pPr>
      <w:r>
        <w:t>1. Release Packaging and Installer-Bundled Agents</w:t>
      </w:r>
    </w:p>
    <w:p>
      <w:pPr>
        <w:spacing w:after="160"/>
      </w:pPr>
      <w:r>
        <w:t>The release pipeline now builds devnet-agent binaries ahead of the main Tauri build and injects them into binaries/ before installer creation. This means the shipped control panel installer carries the agent payloads required to deploy or refresh service agents on remote machines.</w:t>
      </w:r>
    </w:p>
    <w:p>
      <w:pPr>
        <w:pStyle w:val="Heading2"/>
      </w:pPr>
      <w:r>
        <w:t>Release workflow</w:t>
      </w:r>
    </w:p>
    <w:p>
      <w:pPr>
        <w:spacing w:after="160"/>
      </w:pPr>
      <w:r>
        <w:t>A dedicated build-agents job was added to .github/workflows/release.yml. It produces Linux, macOS, and Windows sidecars as artifacts and the app-build job downloads them back into binaries/ so Tauri bundles them as resources.</w:t>
      </w:r>
    </w:p>
    <w:p>
      <w:pPr>
        <w:pStyle w:val="Heading2"/>
      </w:pPr>
      <w:r>
        <w:t>Sidecar build tooling</w:t>
      </w:r>
    </w:p>
    <w:p>
      <w:pPr>
        <w:spacing w:after="160"/>
      </w:pPr>
      <w:r>
        <w:t>scripts/build-sidecars.sh was expanded from a single native build path into a release-oriented tool that supports native output, Linux cross-builds, Windows cross-builds, and a --all mode. The script now validates cargo-zigbuild installation correctly and gives explicit setup guidance for missing toolchains.</w:t>
      </w:r>
    </w:p>
    <w:p>
      <w:pPr>
        <w:pStyle w:val="ListBullet"/>
      </w:pPr>
      <w:r>
        <w:t>Remote Linux deployment no longer depends on a developer remembering to hand-build the correct sidecar file.</w:t>
      </w:r>
    </w:p>
    <w:p>
      <w:pPr>
        <w:pStyle w:val="ListBullet"/>
      </w:pPr>
      <w:r>
        <w:t>The release workflow guarantees that installers include the same agent binaries operators use for deployment.</w:t>
      </w:r>
    </w:p>
    <w:p>
      <w:pPr>
        <w:pStyle w:val="ListBullet"/>
      </w:pPr>
      <w:r>
        <w:t>The node installer template also adds a per-attempt timeout around pre-start sync so a hung binary cannot stall the full sync loop indefinitely.</w:t>
      </w:r>
    </w:p>
    <w:p/>
    <w:p>
      <w:pPr>
        <w:pStyle w:val="Heading1"/>
      </w:pPr>
      <w:r>
        <w:t>2. Local Agent Self-Update Without SSH Keys</w:t>
      </w:r>
    </w:p>
    <w:p>
      <w:pPr>
        <w:spacing w:after="160"/>
      </w:pPr>
      <w:r>
        <w:t>v3.0.0 introduces a same-machine repair path for the devnet agent. When the control panel is opened on the same physical machine as the selected node, the node detail page now switches from a remote SSH deployment flow to a local self-update flow.</w:t>
      </w:r>
    </w:p>
    <w:p>
      <w:pPr>
        <w:pStyle w:val="Heading2"/>
      </w:pPr>
      <w:r>
        <w:t>Node detail behaviour</w:t>
      </w:r>
    </w:p>
    <w:p>
      <w:pPr>
        <w:spacing w:after="160"/>
      </w:pPr>
      <w:r>
        <w:t>The per-node Update Agent button now becomes Update Local Agent when the selected node belongs to the local physical machine. The control calls a new monitor_update_local_agent backend command, reinstalls the bundled agent binary from the control panel resources, and restarts the local runtime.</w:t>
      </w:r>
    </w:p>
    <w:p>
      <w:pPr>
        <w:pStyle w:val="Heading2"/>
      </w:pPr>
      <w:r>
        <w:t>Runtime hardening</w:t>
      </w:r>
    </w:p>
    <w:p>
      <w:pPr>
        <w:spacing w:after="160"/>
      </w:pPr>
      <w:r>
        <w:t>Local binary installation now uses an atomic copy-and-rename flow to avoid partially replaced binaries. The autostart paths for launchd and systemd user services were tightened so reload, enable, and restart failures are surfaced explicitly instead of being silently ignored.</w:t>
      </w:r>
    </w:p>
    <w:p>
      <w:pPr>
        <w:pStyle w:val="Heading2"/>
      </w:pPr>
      <w:r>
        <w:t>Operational model change</w:t>
      </w:r>
    </w:p>
    <w:p>
      <w:pPr>
        <w:spacing w:after="160"/>
      </w:pPr>
      <w:r>
        <w:t>The dashboard no longer exposes Update All Agents as a primary fleet action. The workflow now emphasises updating the agent from the target machine itself when SSH-less recovery is the goal, while the existing orchestrator path remains available where remote deployment is still appropriate.</w:t>
      </w:r>
    </w:p>
    <w:p/>
    <w:p>
      <w:pPr>
        <w:pStyle w:val="Heading1"/>
      </w:pPr>
      <w:r>
        <w:t>3. Monitor Dashboard and Navigation Overhaul</w:t>
      </w:r>
    </w:p>
    <w:p>
      <w:pPr>
        <w:spacing w:after="160"/>
      </w:pPr>
      <w:r>
        <w:t>The monitor experience was substantially reorganised to surface network health faster and reduce click depth for common operator actions.</w:t>
      </w:r>
    </w:p>
    <w:p>
      <w:pPr>
        <w:pStyle w:val="Heading2"/>
      </w:pPr>
      <w:r>
        <w:t>Dashboard summary cards</w:t>
      </w:r>
    </w:p>
    <w:p>
      <w:pPr>
        <w:spacing w:after="160"/>
      </w:pPr>
      <w:r>
        <w:t>The old Total Nodes-focused card strip was replaced with a compact two-row summary grid showing Online, Offline, Syncing, Highest Block, Average Block Time, and Throughput. Online/offline/syncing now display X/total ratios, and the two new performance cards are populated from live snapshot data rather than placeholder copy.</w:t>
      </w:r>
    </w:p>
    <w:p>
      <w:pPr>
        <w:pStyle w:val="Heading2"/>
      </w:pPr>
      <w:r>
        <w:t>Table controls and visibility</w:t>
      </w:r>
    </w:p>
    <w:p>
      <w:pPr>
        <w:spacing w:after="160"/>
      </w:pPr>
      <w:r>
        <w:t>The nodes table now includes an agent reachability column, wider spacing, centred headers, vertically aligned rows, and a Controls column with Start, Stop, and Details actions. Auto-refresh controls were moved beneath the table, and the fleet action toolbar was compressed into uniform two-row button groups.</w:t>
      </w:r>
    </w:p>
    <w:p>
      <w:pPr>
        <w:pStyle w:val="Heading2"/>
      </w:pPr>
      <w:r>
        <w:t>Header and page naming</w:t>
      </w:r>
    </w:p>
    <w:p>
      <w:pPr>
        <w:spacing w:after="160"/>
      </w:pPr>
      <w:r>
        <w:t>The top navigation was rebalanced so the updater status and Check for Updates action live on the left side of the header, while the right-side route buttons share a consistent size. Settings is now labelled Operator Settings, Let's Break Stuff was renamed Resilience Drills, and the SXCP page now uses the same future-lab presentation style as the other operational placeholder pages under the title SXCP Operations Center.</w:t>
      </w:r>
    </w:p>
    <w:p/>
    <w:p>
      <w:pPr>
        <w:pStyle w:val="Heading1"/>
      </w:pPr>
      <w:r>
        <w:t>4. Sync, Reset, and Control Reliability Improvements</w:t>
      </w:r>
    </w:p>
    <w:p>
      <w:pPr>
        <w:spacing w:after="160"/>
      </w:pPr>
      <w:r>
        <w:t>Several backend control paths were tightened so the monitor behaves more predictably during resets, sync operations, and offline-node recovery.</w:t>
      </w:r>
    </w:p>
    <w:p>
      <w:pPr>
        <w:pStyle w:val="Heading2"/>
      </w:pPr>
      <w:r>
        <w:t>sync_node fallback parity</w:t>
      </w:r>
    </w:p>
    <w:p>
      <w:pPr>
        <w:spacing w:after="160"/>
      </w:pPr>
      <w:r>
        <w:t>The remote-node-orchestrator now exposes sync_node directly through nodectl sync, aligning the orchestrator layer with the service-agent action set. This gives the control plane a consistent path for syncing nodes that need block catch-up without starting them.</w:t>
      </w:r>
    </w:p>
    <w:p>
      <w:pPr>
        <w:pStyle w:val="Heading2"/>
      </w:pPr>
      <w:r>
        <w:t>Explorer reset parity</w:t>
      </w:r>
    </w:p>
    <w:p>
      <w:pPr>
        <w:spacing w:after="160"/>
      </w:pPr>
      <w:r>
        <w:t>Single-node reset_chain operations now trigger the same explorer reindex notification that was previously limited to bulk resets. This reduces the chance that the explorer continues showing stale state after an individual machine is reset.</w:t>
      </w:r>
    </w:p>
    <w:p>
      <w:pPr>
        <w:pStyle w:val="Heading2"/>
      </w:pPr>
      <w:r>
        <w:t>Live metric collection</w:t>
      </w:r>
    </w:p>
    <w:p>
      <w:pPr>
        <w:spacing w:after="160"/>
      </w:pPr>
      <w:r>
        <w:t>The monitor snapshot probe was extended to pull average block time from synergy_getNodeStatus and derive a network throughput estimate from latest-block transaction counts. The snapshot prefers head nodes when aggregating these values so stale nodes do not skew the cards.</w:t>
      </w:r>
    </w:p>
    <w:p>
      <w:pPr>
        <w:pStyle w:val="Heading1"/>
      </w:pPr>
      <w:r>
        <w:t>5. Documentation and Operator Reference</w:t>
      </w:r>
    </w:p>
    <w:p>
      <w:pPr>
        <w:spacing w:after="160"/>
      </w:pPr>
      <w:r>
        <w:t>A new COMMANDS reference was added under docs/reference in both Markdown and DOCX form. This gives operators a single place to review the supported command surface and reduces the need to infer control-plane behavior from scripts alone.</w:t>
      </w:r>
    </w:p>
    <w:p>
      <w:pPr>
        <w:pStyle w:val="Heading1"/>
      </w:pPr>
      <w:r>
        <w:t>6. Files Changed</w:t>
      </w:r>
    </w:p>
    <w:tbl>
      <w:tblPr>
        <w:tblStyle w:val="TableGrid"/>
        <w:tblW w:type="auto" w:w="0"/>
        <w:jc w:val="left"/>
        <w:tblLook w:firstColumn="1" w:firstRow="1" w:lastColumn="0" w:lastRow="0" w:noHBand="0" w:noVBand="1" w:val="04A0"/>
      </w:tblPr>
      <w:tblGrid>
        <w:gridCol w:w="4968"/>
        <w:gridCol w:w="4968"/>
      </w:tblGrid>
      <w:tr>
        <w:tc>
          <w:tcPr>
            <w:tcW w:type="dxa" w:w="4968"/>
            <w:vAlign w:val="center"/>
            <w:shd w:fill="D9EAF7"/>
          </w:tcPr>
          <w:p>
            <w:pPr>
              <w:spacing w:after="0"/>
            </w:pPr>
            <w:r>
              <w:rPr>
                <w:rFonts w:ascii="Calibri" w:hAnsi="Calibri" w:eastAsia="Calibri"/>
                <w:sz w:val="20"/>
              </w:rPr>
            </w:r>
            <w:r>
              <w:rPr>
                <w:rFonts w:ascii="Calibri" w:hAnsi="Calibri" w:eastAsia="Calibri"/>
                <w:b/>
                <w:sz w:val="20"/>
              </w:rPr>
              <w:t>File / Path</w:t>
            </w:r>
          </w:p>
        </w:tc>
        <w:tc>
          <w:tcPr>
            <w:tcW w:type="dxa" w:w="4968"/>
            <w:vAlign w:val="center"/>
            <w:shd w:fill="D9EAF7"/>
          </w:tcPr>
          <w:p>
            <w:pPr>
              <w:spacing w:after="0"/>
            </w:pPr>
            <w:r>
              <w:rPr>
                <w:rFonts w:ascii="Calibri" w:hAnsi="Calibri" w:eastAsia="Calibri"/>
                <w:sz w:val="20"/>
              </w:rPr>
            </w:r>
            <w:r>
              <w:rPr>
                <w:rFonts w:ascii="Calibri" w:hAnsi="Calibri" w:eastAsia="Calibri"/>
                <w:b/>
                <w:sz w:val="20"/>
              </w:rPr>
              <w:t>Change</w:t>
            </w:r>
          </w:p>
        </w:tc>
      </w:tr>
      <w:tr>
        <w:tc>
          <w:tcPr>
            <w:tcW w:type="dxa" w:w="4968"/>
            <w:vAlign w:val="center"/>
          </w:tcPr>
          <w:p>
            <w:pPr>
              <w:spacing w:after="0"/>
            </w:pPr>
            <w:r>
              <w:rPr>
                <w:rFonts w:ascii="Calibri" w:hAnsi="Calibri" w:eastAsia="Calibri"/>
                <w:sz w:val="20"/>
              </w:rPr>
            </w:r>
            <w:r>
              <w:rPr>
                <w:rFonts w:ascii="Calibri" w:hAnsi="Calibri" w:eastAsia="Calibri"/>
                <w:b w:val="0"/>
                <w:sz w:val="20"/>
              </w:rPr>
              <w:t>.github/workflows/release.yml</w:t>
            </w:r>
          </w:p>
        </w:tc>
        <w:tc>
          <w:tcPr>
            <w:tcW w:type="dxa" w:w="4968"/>
            <w:vAlign w:val="center"/>
          </w:tcPr>
          <w:p>
            <w:pPr>
              <w:spacing w:after="0"/>
            </w:pPr>
            <w:r>
              <w:rPr>
                <w:rFonts w:ascii="Calibri" w:hAnsi="Calibri" w:eastAsia="Calibri"/>
                <w:sz w:val="20"/>
              </w:rPr>
            </w:r>
            <w:r>
              <w:rPr>
                <w:rFonts w:ascii="Calibri" w:hAnsi="Calibri" w:eastAsia="Calibri"/>
                <w:b w:val="0"/>
                <w:sz w:val="20"/>
              </w:rPr>
              <w:t>New build-agents job; downloads bundled sidecars into binaries/ before Tauri release builds</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scripts/build-sidecars.sh</w:t>
            </w:r>
          </w:p>
        </w:tc>
        <w:tc>
          <w:tcPr>
            <w:tcW w:type="dxa" w:w="4968"/>
            <w:vAlign w:val="center"/>
          </w:tcPr>
          <w:p>
            <w:pPr>
              <w:spacing w:after="0"/>
            </w:pPr>
            <w:r>
              <w:rPr>
                <w:rFonts w:ascii="Calibri" w:hAnsi="Calibri" w:eastAsia="Calibri"/>
                <w:sz w:val="20"/>
              </w:rPr>
            </w:r>
            <w:r>
              <w:rPr>
                <w:rFonts w:ascii="Calibri" w:hAnsi="Calibri" w:eastAsia="Calibri"/>
                <w:b w:val="0"/>
                <w:sz w:val="20"/>
              </w:rPr>
              <w:t>Expanded native/cross-platform sidecar build workflow; improved cargo-zigbuild detection and release guidance</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scripts/devnet15/build-node-installers.sh</w:t>
            </w:r>
          </w:p>
        </w:tc>
        <w:tc>
          <w:tcPr>
            <w:tcW w:type="dxa" w:w="4968"/>
            <w:vAlign w:val="center"/>
          </w:tcPr>
          <w:p>
            <w:pPr>
              <w:spacing w:after="0"/>
            </w:pPr>
            <w:r>
              <w:rPr>
                <w:rFonts w:ascii="Calibri" w:hAnsi="Calibri" w:eastAsia="Calibri"/>
                <w:sz w:val="20"/>
              </w:rPr>
            </w:r>
            <w:r>
              <w:rPr>
                <w:rFonts w:ascii="Calibri" w:hAnsi="Calibri" w:eastAsia="Calibri"/>
                <w:b w:val="0"/>
                <w:sz w:val="20"/>
              </w:rPr>
              <w:t>Added per-attempt timeout guard for pre-start sync attempts</w:t>
            </w:r>
          </w:p>
        </w:tc>
      </w:tr>
      <w:tr>
        <w:tc>
          <w:tcPr>
            <w:tcW w:type="dxa" w:w="4968"/>
            <w:vAlign w:val="center"/>
          </w:tcPr>
          <w:p>
            <w:pPr>
              <w:spacing w:after="0"/>
            </w:pPr>
            <w:r>
              <w:rPr>
                <w:rFonts w:ascii="Calibri" w:hAnsi="Calibri" w:eastAsia="Calibri"/>
                <w:sz w:val="20"/>
              </w:rPr>
            </w:r>
            <w:r>
              <w:rPr>
                <w:rFonts w:ascii="Calibri" w:hAnsi="Calibri" w:eastAsia="Calibri"/>
                <w:b w:val="0"/>
                <w:sz w:val="20"/>
              </w:rPr>
              <w:t>scripts/devnet15/remote-node-orchestrator.sh</w:t>
            </w:r>
          </w:p>
        </w:tc>
        <w:tc>
          <w:tcPr>
            <w:tcW w:type="dxa" w:w="4968"/>
            <w:vAlign w:val="center"/>
          </w:tcPr>
          <w:p>
            <w:pPr>
              <w:spacing w:after="0"/>
            </w:pPr>
            <w:r>
              <w:rPr>
                <w:rFonts w:ascii="Calibri" w:hAnsi="Calibri" w:eastAsia="Calibri"/>
                <w:sz w:val="20"/>
              </w:rPr>
            </w:r>
            <w:r>
              <w:rPr>
                <w:rFonts w:ascii="Calibri" w:hAnsi="Calibri" w:eastAsia="Calibri"/>
                <w:b w:val="0"/>
                <w:sz w:val="20"/>
              </w:rPr>
              <w:t>Added sync_node -&gt; nodectl sync mapping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src-tauri/src/agent.rs</w:t>
            </w:r>
          </w:p>
        </w:tc>
        <w:tc>
          <w:tcPr>
            <w:tcW w:type="dxa" w:w="4968"/>
            <w:vAlign w:val="center"/>
          </w:tcPr>
          <w:p>
            <w:pPr>
              <w:spacing w:after="0"/>
            </w:pPr>
            <w:r>
              <w:rPr>
                <w:rFonts w:ascii="Calibri" w:hAnsi="Calibri" w:eastAsia="Calibri"/>
                <w:sz w:val="20"/>
              </w:rPr>
            </w:r>
            <w:r>
              <w:rPr>
                <w:rFonts w:ascii="Calibri" w:hAnsi="Calibri" w:eastAsia="Calibri"/>
                <w:b w:val="0"/>
                <w:sz w:val="20"/>
              </w:rPr>
              <w:t>Added force_update_local_devnet_agent, atomic binary replacement, and stronger local runtime restart/autostart handling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src-tauri/src/monitor.rs</w:t>
            </w:r>
          </w:p>
        </w:tc>
        <w:tc>
          <w:tcPr>
            <w:tcW w:type="dxa" w:w="4968"/>
            <w:vAlign w:val="center"/>
          </w:tcPr>
          <w:p>
            <w:pPr>
              <w:spacing w:after="0"/>
            </w:pPr>
            <w:r>
              <w:rPr>
                <w:rFonts w:ascii="Calibri" w:hAnsi="Calibri" w:eastAsia="Calibri"/>
                <w:sz w:val="20"/>
              </w:rPr>
            </w:r>
            <w:r>
              <w:rPr>
                <w:rFonts w:ascii="Calibri" w:hAnsi="Calibri" w:eastAsia="Calibri"/>
                <w:b w:val="0"/>
                <w:sz w:val="20"/>
              </w:rPr>
              <w:t>Added local agent update command, live throughput/block-time metrics, sync fallback wiring, and single-reset explorer reindex hook</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src/components/NetworkMonitorNodePage.jsx</w:t>
            </w:r>
          </w:p>
        </w:tc>
        <w:tc>
          <w:tcPr>
            <w:tcW w:type="dxa" w:w="4968"/>
            <w:vAlign w:val="center"/>
          </w:tcPr>
          <w:p>
            <w:pPr>
              <w:spacing w:after="0"/>
            </w:pPr>
            <w:r>
              <w:rPr>
                <w:rFonts w:ascii="Calibri" w:hAnsi="Calibri" w:eastAsia="Calibri"/>
                <w:sz w:val="20"/>
              </w:rPr>
            </w:r>
            <w:r>
              <w:rPr>
                <w:rFonts w:ascii="Calibri" w:hAnsi="Calibri" w:eastAsia="Calibri"/>
                <w:b w:val="0"/>
                <w:sz w:val="20"/>
              </w:rPr>
              <w:t>Same-machine Update Local Agent behaviour and messaging</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src/components/NetworkMonitorDashboard.jsx</w:t>
            </w:r>
          </w:p>
        </w:tc>
        <w:tc>
          <w:tcPr>
            <w:tcW w:type="dxa" w:w="4968"/>
            <w:vAlign w:val="center"/>
          </w:tcPr>
          <w:p>
            <w:pPr>
              <w:spacing w:after="0"/>
            </w:pPr>
            <w:r>
              <w:rPr>
                <w:rFonts w:ascii="Calibri" w:hAnsi="Calibri" w:eastAsia="Calibri"/>
                <w:sz w:val="20"/>
              </w:rPr>
            </w:r>
            <w:r>
              <w:rPr>
                <w:rFonts w:ascii="Calibri" w:hAnsi="Calibri" w:eastAsia="Calibri"/>
                <w:b w:val="0"/>
                <w:sz w:val="20"/>
              </w:rPr>
              <w:t>Dashboard redesign, live summary cards, per-row Start/Stop/Details controls, and auto-refresh/footer layout</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src/components/Layout.jsx / src/styles.css</w:t>
            </w:r>
          </w:p>
        </w:tc>
        <w:tc>
          <w:tcPr>
            <w:tcW w:type="dxa" w:w="4968"/>
            <w:vAlign w:val="center"/>
          </w:tcPr>
          <w:p>
            <w:pPr>
              <w:spacing w:after="0"/>
            </w:pPr>
            <w:r>
              <w:rPr>
                <w:rFonts w:ascii="Calibri" w:hAnsi="Calibri" w:eastAsia="Calibri"/>
                <w:sz w:val="20"/>
              </w:rPr>
            </w:r>
            <w:r>
              <w:rPr>
                <w:rFonts w:ascii="Calibri" w:hAnsi="Calibri" w:eastAsia="Calibri"/>
                <w:b w:val="0"/>
                <w:sz w:val="20"/>
              </w:rPr>
              <w:t>Header/status layout refresh and button standardisation; Operator Settings rename</w:t>
            </w:r>
          </w:p>
        </w:tc>
      </w:tr>
      <w:tr>
        <w:tc>
          <w:tcPr>
            <w:tcW w:type="dxa" w:w="4968"/>
            <w:vAlign w:val="center"/>
          </w:tcPr>
          <w:p>
            <w:pPr>
              <w:spacing w:after="0"/>
            </w:pPr>
            <w:r>
              <w:rPr>
                <w:rFonts w:ascii="Calibri" w:hAnsi="Calibri" w:eastAsia="Calibri"/>
                <w:sz w:val="20"/>
              </w:rPr>
            </w:r>
            <w:r>
              <w:rPr>
                <w:rFonts w:ascii="Calibri" w:hAnsi="Calibri" w:eastAsia="Calibri"/>
                <w:b w:val="0"/>
                <w:sz w:val="20"/>
              </w:rPr>
              <w:t>src/components/SXCPDashboard.jsx / src/components/BreakStuffPage.jsx</w:t>
            </w:r>
          </w:p>
        </w:tc>
        <w:tc>
          <w:tcPr>
            <w:tcW w:type="dxa" w:w="4968"/>
            <w:vAlign w:val="center"/>
          </w:tcPr>
          <w:p>
            <w:pPr>
              <w:spacing w:after="0"/>
            </w:pPr>
            <w:r>
              <w:rPr>
                <w:rFonts w:ascii="Calibri" w:hAnsi="Calibri" w:eastAsia="Calibri"/>
                <w:sz w:val="20"/>
              </w:rPr>
            </w:r>
            <w:r>
              <w:rPr>
                <w:rFonts w:ascii="Calibri" w:hAnsi="Calibri" w:eastAsia="Calibri"/>
                <w:b w:val="0"/>
                <w:sz w:val="20"/>
              </w:rPr>
              <w:t>Retitled and restyled SXCP / Resilience Drills placeholder pages</w:t>
            </w:r>
          </w:p>
        </w:tc>
      </w:tr>
      <w:tr>
        <w:tc>
          <w:tcPr>
            <w:tcW w:type="dxa" w:w="4968"/>
            <w:vAlign w:val="center"/>
          </w:tcPr>
          <w:p>
            <w:pPr>
              <w:spacing w:after="0"/>
            </w:pPr>
            <w:r>
              <w:rPr>
                <w:rFonts w:ascii="Calibri" w:hAnsi="Calibri" w:eastAsia="Calibri"/>
                <w:sz w:val="20"/>
              </w:rPr>
            </w:r>
            <w:r>
              <w:rPr>
                <w:rFonts w:ascii="Calibri" w:hAnsi="Calibri" w:eastAsia="Calibri"/>
                <w:b w:val="0"/>
                <w:sz w:val="20"/>
              </w:rPr>
              <w:t>src/styles/monitor.css</w:t>
            </w:r>
          </w:p>
        </w:tc>
        <w:tc>
          <w:tcPr>
            <w:tcW w:type="dxa" w:w="4968"/>
            <w:vAlign w:val="center"/>
          </w:tcPr>
          <w:p>
            <w:pPr>
              <w:spacing w:after="0"/>
            </w:pPr>
            <w:r>
              <w:rPr>
                <w:rFonts w:ascii="Calibri" w:hAnsi="Calibri" w:eastAsia="Calibri"/>
                <w:sz w:val="20"/>
              </w:rPr>
            </w:r>
            <w:r>
              <w:rPr>
                <w:rFonts w:ascii="Calibri" w:hAnsi="Calibri" w:eastAsia="Calibri"/>
                <w:b w:val="0"/>
                <w:sz w:val="20"/>
              </w:rPr>
              <w:t>New summary-card system, table layout polish, row-control styling, and toolbar grid changes</w:t>
            </w:r>
          </w:p>
        </w:tc>
      </w:tr>
      <w:tr>
        <w:tc>
          <w:tcPr>
            <w:tcW w:type="dxa" w:w="4968"/>
            <w:vAlign w:val="center"/>
          </w:tcPr>
          <w:p>
            <w:pPr>
              <w:spacing w:after="0"/>
            </w:pPr>
            <w:r>
              <w:rPr>
                <w:rFonts w:ascii="Calibri" w:hAnsi="Calibri" w:eastAsia="Calibri"/>
                <w:sz w:val="20"/>
              </w:rPr>
            </w:r>
            <w:r>
              <w:rPr>
                <w:rFonts w:ascii="Calibri" w:hAnsi="Calibri" w:eastAsia="Calibri"/>
                <w:b w:val="0"/>
                <w:sz w:val="20"/>
              </w:rPr>
              <w:t>docs/reference/COMMANDS.md / docs/reference/COMMANDS.docx</w:t>
            </w:r>
          </w:p>
        </w:tc>
        <w:tc>
          <w:tcPr>
            <w:tcW w:type="dxa" w:w="4968"/>
            <w:vAlign w:val="center"/>
          </w:tcPr>
          <w:p>
            <w:pPr>
              <w:spacing w:after="0"/>
            </w:pPr>
            <w:r>
              <w:rPr>
                <w:rFonts w:ascii="Calibri" w:hAnsi="Calibri" w:eastAsia="Calibri"/>
                <w:sz w:val="20"/>
              </w:rPr>
            </w:r>
            <w:r>
              <w:rPr>
                <w:rFonts w:ascii="Calibri" w:hAnsi="Calibri" w:eastAsia="Calibri"/>
                <w:b w:val="0"/>
                <w:sz w:val="20"/>
              </w:rPr>
              <w:t>Added operator command reference documentation</w:t>
            </w:r>
          </w:p>
        </w:tc>
      </w:tr>
    </w:tbl>
    <w:p/>
    <w:p>
      <w:pPr>
        <w:pStyle w:val="Heading1"/>
      </w:pPr>
      <w:r>
        <w:t>7. Deployment &amp; Upgrade Notes</w:t>
      </w:r>
    </w:p>
    <w:p>
      <w:pPr>
        <w:spacing w:after="160"/>
      </w:pPr>
      <w:r>
        <w:t>The recommended operator workflow for v3.0.0 is now:</w:t>
      </w:r>
    </w:p>
    <w:p>
      <w:pPr>
        <w:pStyle w:val="ListBullet"/>
      </w:pPr>
      <w:r>
        <w:t>Build or download installers from the tagged release so the desktop app includes the bundled agent sidecars.</w:t>
      </w:r>
    </w:p>
    <w:p>
      <w:pPr>
        <w:pStyle w:val="ListBullet"/>
      </w:pPr>
      <w:r>
        <w:t>On a target machine, use the node detail page Update Local Agent action to refresh the local service without SSH keys when the control panel is running on that machine.</w:t>
      </w:r>
    </w:p>
    <w:p>
      <w:pPr>
        <w:pStyle w:val="ListBullet"/>
      </w:pPr>
      <w:r>
        <w:t>Use the redesigned dashboard for fleet-level Start, Stop, Restart, Sync All, and Reset Chain to Genesis actions; use the row-level controls for single-node interventions.</w:t>
      </w:r>
      <w:r>
        <w:t xml:space="preserve"> Refer to COMMANDS.md / COMMANDS.docx for the operator command reference.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