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F8B"/>
          <w:sz w:val="22"/>
        </w:rPr>
        <w:t>PROOF OF SYNERGY</w:t>
      </w:r>
    </w:p>
    <w:p>
      <w:pPr>
        <w:pStyle w:val="Heading1"/>
      </w:pPr>
      <w:r>
        <w:t>POSY-00E — PoSy v3 simplified chained-QC consensus amendment</w:t>
      </w:r>
    </w:p>
    <w:tbl>
      <w:tblPr>
        <w:tblStyle w:val="TableGrid"/>
        <w:tblW w:type="auto" w:w="0"/>
        <w:tblLayout w:type="fixed"/>
        <w:tblLook w:firstColumn="1" w:firstRow="0" w:lastColumn="0" w:lastRow="0" w:noHBand="0" w:noVBand="1" w:val="04A0"/>
      </w:tblPr>
      <w:tblGrid>
        <w:gridCol w:w="4939"/>
        <w:gridCol w:w="4939"/>
      </w:tblGrid>
      <w:tr>
        <w:tc>
          <w:tcPr>
            <w:tcW w:type="dxa" w:w="1800"/>
            <w:vAlign w:val="center"/>
            <w:shd w:fill="D7E9ED"/>
          </w:tcPr>
          <w:p>
            <w:r>
              <w:rPr>
                <w:b/>
              </w:rPr>
              <w:t>Status</w:t>
            </w:r>
          </w:p>
        </w:tc>
        <w:tc>
          <w:tcPr>
            <w:tcW w:type="dxa" w:w="8136"/>
            <w:vAlign w:val="center"/>
            <w:shd w:fill="F4F8FA"/>
          </w:tcPr>
          <w:p>
            <w:r>
              <w:t>proposed, not activated, not implementation-aligned until every gate in §15 passes.</w:t>
            </w:r>
          </w:p>
        </w:tc>
      </w:tr>
      <w:tr>
        <w:tc>
          <w:tcPr>
            <w:tcW w:type="dxa" w:w="1800"/>
            <w:vAlign w:val="center"/>
            <w:shd w:fill="D7E9ED"/>
          </w:tcPr>
          <w:p>
            <w:r>
              <w:rPr>
                <w:b/>
              </w:rPr>
              <w:t>Prepared</w:t>
            </w:r>
          </w:p>
        </w:tc>
        <w:tc>
          <w:tcPr>
            <w:tcW w:type="dxa" w:w="8136"/>
            <w:vAlign w:val="center"/>
            <w:shd w:fill="F4F8FA"/>
          </w:tcPr>
          <w:p>
            <w:r>
              <w:t>12 August 2026.</w:t>
            </w:r>
          </w:p>
        </w:tc>
      </w:tr>
      <w:tr>
        <w:tc>
          <w:tcPr>
            <w:tcW w:type="dxa" w:w="1800"/>
            <w:vAlign w:val="center"/>
            <w:shd w:fill="D7E9ED"/>
          </w:tcPr>
          <w:p>
            <w:r>
              <w:rPr>
                <w:b/>
              </w:rPr>
              <w:t>Protocol profile</w:t>
            </w:r>
          </w:p>
        </w:tc>
        <w:tc>
          <w:tcPr>
            <w:tcW w:type="dxa" w:w="8136"/>
            <w:vAlign w:val="center"/>
            <w:shd w:fill="F4F8FA"/>
          </w:tcPr>
          <w:p>
            <w:r>
              <w:rPr>
                <w:rFonts w:ascii="Aptos Mono" w:hAnsi="Aptos Mono"/>
                <w:color w:val="00587A"/>
                <w:sz w:val="18"/>
              </w:rPr>
              <w:t>posy/3.0</w:t>
            </w:r>
            <w:r>
              <w:t>.</w:t>
            </w:r>
          </w:p>
        </w:tc>
      </w:tr>
      <w:tr>
        <w:tc>
          <w:tcPr>
            <w:tcW w:type="dxa" w:w="1800"/>
            <w:vAlign w:val="center"/>
            <w:shd w:fill="D7E9ED"/>
          </w:tcPr>
          <w:p>
            <w:r>
              <w:rPr>
                <w:b/>
              </w:rPr>
              <w:t>Precedence</w:t>
            </w:r>
          </w:p>
        </w:tc>
        <w:tc>
          <w:tcPr>
            <w:tcW w:type="dxa" w:w="8136"/>
            <w:vAlign w:val="center"/>
            <w:shd w:fill="F4F8FA"/>
          </w:tcPr>
          <w:p>
            <w:r>
              <w:t>this amendment supersedes conflicting POSY-00C block-finality, ordinary block-vote, and leader-scheduling language only after a finalized epoch-boundary activation. POSY-00D continues to control ETDAG, BOC, reveal, and protected execution.</w:t>
            </w:r>
          </w:p>
        </w:tc>
      </w:tr>
    </w:tbl>
    <w:p>
      <w:pPr>
        <w:pStyle w:val="Heading2"/>
      </w:pPr>
      <w:r>
        <w:t>1. Scope and non-regression boundary</w:t>
      </w:r>
    </w:p>
    <w:p>
      <w:r>
        <w:t xml:space="preserve">PoSy v3 replaces the repeated normal-path </w:t>
      </w:r>
      <w:r>
        <w:rPr>
          <w:rFonts w:ascii="Aptos Mono" w:hAnsi="Aptos Mono"/>
          <w:color w:val="00587A"/>
          <w:sz w:val="18"/>
        </w:rPr>
        <w:t>VALIDATE -&gt; VC -&gt; FINALITY -&gt; QC</w:t>
      </w:r>
      <w:r>
        <w:t xml:space="preserve"> ceremony with </w:t>
      </w:r>
      <w:r>
        <w:rPr>
          <w:rFonts w:ascii="Aptos Mono" w:hAnsi="Aptos Mono"/>
          <w:color w:val="00587A"/>
          <w:sz w:val="18"/>
        </w:rPr>
        <w:t>PROPOSAL -&gt; VOTE -&gt; QC</w:t>
      </w:r>
      <w:r>
        <w:t>, commits through a chained three-QC rule, and assigns proposals through an immutable epoch leader ring with fixed ten-block leases. It does not alter transaction validity, the frozen finality-weight source, validator key policy, ETDAG isolation, protected execution, or emergency governance.</w:t>
      </w:r>
    </w:p>
    <w:p>
      <w:r>
        <w:t xml:space="preserve">The finalized </w:t>
      </w:r>
      <w:r>
        <w:rPr>
          <w:rFonts w:ascii="Aptos Mono" w:hAnsi="Aptos Mono"/>
          <w:color w:val="00587A"/>
          <w:sz w:val="18"/>
        </w:rPr>
        <w:t>posy/2.2</w:t>
      </w:r>
      <w:r>
        <w:t xml:space="preserve"> schema-2 manifest and its canonical root are historical consensus facts and MUST remain byte-for-byte unchanged. A v3 node MUST NOT activate from a proposed manifest, infer an activation height, or mix v2.2 and v3 objects at one height.</w:t>
      </w:r>
    </w:p>
    <w:p>
      <w:pPr>
        <w:pStyle w:val="Heading2"/>
      </w:pPr>
      <w:r>
        <w:t>2. Non-negotiable invariants</w:t>
      </w:r>
    </w:p>
    <w:p>
      <w:pPr>
        <w:ind w:left="389" w:hanging="389"/>
      </w:pPr>
      <w:r>
        <w:rPr>
          <w:b/>
        </w:rPr>
        <w:t>1.</w:t>
        <w:tab/>
      </w:r>
      <w:r>
        <w:t>Every signed object binds chain, network, protocol, schema, epoch, height, round, epoch-context root, parameter root, active-set root, key root, and frozen-weight root.</w:t>
      </w:r>
    </w:p>
    <w:p>
      <w:pPr>
        <w:ind w:left="389" w:hanging="389"/>
      </w:pPr>
      <w:r>
        <w:rPr>
          <w:b/>
        </w:rPr>
        <w:t>2.</w:t>
        <w:tab/>
      </w:r>
      <w:r>
        <w:t>The native Testnet-v3 consensus signature is Aegis-authorized ML-DSA-65. Individual signatures remain independently verified.</w:t>
      </w:r>
    </w:p>
    <w:p>
      <w:pPr>
        <w:ind w:left="389" w:hanging="389"/>
      </w:pPr>
      <w:r>
        <w:rPr>
          <w:b/>
        </w:rPr>
        <w:t>3.</w:t>
        <w:tab/>
      </w:r>
      <w:r>
        <w:t>A signer-journal compare-and-set is durable before signature material leaves the signer. No timer, restart, database cleanup, or operator action deletes an authorization.</w:t>
      </w:r>
    </w:p>
    <w:p>
      <w:pPr>
        <w:ind w:left="389" w:hanging="389"/>
      </w:pPr>
      <w:r>
        <w:rPr>
          <w:b/>
        </w:rPr>
        <w:t>4.</w:t>
        <w:tab/>
      </w:r>
      <w:r>
        <w:t xml:space="preserve">Count and weight quorums are independent and exact: </w:t>
      </w:r>
      <w:r>
        <w:rPr>
          <w:rFonts w:ascii="Aptos Mono" w:hAnsi="Aptos Mono"/>
          <w:color w:val="00587A"/>
          <w:sz w:val="18"/>
        </w:rPr>
        <w:t>3 * distinct_signers &gt; 2 * active_validators</w:t>
      </w:r>
      <w:r>
        <w:t xml:space="preserve"> and </w:t>
      </w:r>
      <w:r>
        <w:rPr>
          <w:rFonts w:ascii="Aptos Mono" w:hAnsi="Aptos Mono"/>
          <w:color w:val="00587A"/>
          <w:sz w:val="18"/>
        </w:rPr>
        <w:t>3 * signed_weight &gt; 2 * total_frozen_weight</w:t>
      </w:r>
      <w:r>
        <w:t>. Multiplication is overflow checked. Duplicate or invalid signers contribute zero.</w:t>
      </w:r>
    </w:p>
    <w:p>
      <w:pPr>
        <w:ind w:left="389" w:hanging="389"/>
      </w:pPr>
      <w:r>
        <w:rPr>
          <w:b/>
        </w:rPr>
        <w:t>5.</w:t>
        <w:tab/>
      </w:r>
      <w:r>
        <w:t>A TC changes only proposal authority for the current lease. It never commits a block, erases a lock, selects a branch, lowers quorum, or changes membership.</w:t>
      </w:r>
    </w:p>
    <w:p>
      <w:pPr>
        <w:ind w:left="389" w:hanging="389"/>
      </w:pPr>
      <w:r>
        <w:rPr>
          <w:b/>
        </w:rPr>
        <w:t>6.</w:t>
        <w:tab/>
      </w:r>
      <w:r>
        <w:t xml:space="preserve">Two conflicting valid QCs at one height cause durable </w:t>
      </w:r>
      <w:r>
        <w:rPr>
          <w:rFonts w:ascii="Aptos Mono" w:hAnsi="Aptos Mono"/>
          <w:color w:val="00587A"/>
          <w:sz w:val="18"/>
        </w:rPr>
        <w:t>SafetyHalt</w:t>
      </w:r>
      <w:r>
        <w:t>; there is no automatic weight, round, or arrival-time fork choice.</w:t>
      </w:r>
    </w:p>
    <w:p>
      <w:pPr>
        <w:ind w:left="389" w:hanging="389"/>
      </w:pPr>
      <w:r>
        <w:rPr>
          <w:b/>
        </w:rPr>
        <w:t>7.</w:t>
        <w:tab/>
      </w:r>
      <w:r>
        <w:t>ETDAG certificates remain transaction-layer objects. BOC/reveal/protected-execution validation remains required before a proposal may receive a block vote.</w:t>
      </w:r>
    </w:p>
    <w:p>
      <w:pPr>
        <w:ind w:left="389" w:hanging="389"/>
      </w:pPr>
      <w:r>
        <w:rPr>
          <w:b/>
        </w:rPr>
        <w:t>8.</w:t>
        <w:tab/>
      </w:r>
      <w:r>
        <w:t>Local live-peer sets, health observations, wall clocks, floating point, stake, Synergy Score, stale-lock age, and fallback loops never determine proposer authority.</w:t>
      </w:r>
    </w:p>
    <w:p>
      <w:pPr>
        <w:pStyle w:val="Heading2"/>
      </w:pPr>
      <w:r>
        <w:t>3. Frozen epoch context</w:t>
      </w:r>
    </w:p>
    <w:p>
      <w:r>
        <w:t>The finalized epoch transition commits:</w:t>
      </w:r>
    </w:p>
    <w:p>
      <w:pPr>
        <w:pStyle w:val="ListBullet"/>
      </w:pPr>
      <w:r>
        <w:t>epoch and exact inclusive height range;</w:t>
      </w:r>
    </w:p>
    <w:p>
      <w:pPr>
        <w:pStyle w:val="ListBullet"/>
      </w:pPr>
      <w:r>
        <w:t>finalized schedule seed;</w:t>
      </w:r>
    </w:p>
    <w:p>
      <w:pPr>
        <w:pStyle w:val="ListBullet"/>
      </w:pPr>
      <w:r>
        <w:t>canonical parameter root;</w:t>
      </w:r>
    </w:p>
    <w:p>
      <w:pPr>
        <w:pStyle w:val="ListBullet"/>
      </w:pPr>
      <w:r>
        <w:t>exactly five active validator identities for the initial Testnet-v3 v3 profile;</w:t>
      </w:r>
    </w:p>
    <w:p>
      <w:pPr>
        <w:pStyle w:val="ListBullet"/>
      </w:pPr>
      <w:r>
        <w:t>active-set, consensus-key, frozen-weight, and leader-ring roots;</w:t>
      </w:r>
    </w:p>
    <w:p>
      <w:pPr>
        <w:pStyle w:val="ListBullet"/>
      </w:pPr>
      <w:r>
        <w:t>the full ordered leader ring;</w:t>
      </w:r>
    </w:p>
    <w:p>
      <w:pPr>
        <w:pStyle w:val="ListBullet"/>
      </w:pPr>
      <w:r>
        <w:t>epoch anchor QC or transition root;</w:t>
      </w:r>
    </w:p>
    <w:p>
      <w:pPr>
        <w:pStyle w:val="ListBullet"/>
      </w:pPr>
      <w:r>
        <w:t>activation epoch and height.</w:t>
      </w:r>
    </w:p>
    <w:p>
      <w:r>
        <w:t>All five validators MUST reconstruct identical canonical context bytes and roots before activation. A first v3 height references the certified v2.2 transition/anchor; subsequent v3 objects use only the v3 context.</w:t>
      </w:r>
    </w:p>
    <w:p>
      <w:pPr>
        <w:pStyle w:val="Heading2"/>
      </w:pPr>
      <w:r>
        <w:t>4. Immutable epoch leader ring</w:t>
      </w:r>
    </w:p>
    <w:p>
      <w:r>
        <w:t xml:space="preserve">For each active validator </w:t>
      </w:r>
      <w:r>
        <w:rPr>
          <w:rFonts w:ascii="Aptos Mono" w:hAnsi="Aptos Mono"/>
          <w:color w:val="00587A"/>
          <w:sz w:val="18"/>
        </w:rPr>
        <w:t>v</w:t>
      </w:r>
      <w:r>
        <w:t>:</w:t>
      </w:r>
    </w:p>
    <w:p>
      <w:pPr>
        <w:pStyle w:val="CodeBlock"/>
      </w:pPr>
      <w:r>
        <w:t>rank(v) = SHA3-512("PoSy/LeaderSchedule/v3" || epoch_seed || canonical_validator_id(v))</w:t>
      </w:r>
    </w:p>
    <w:p>
      <w:r>
        <w:t>Sort ascending on the complete 512-bit rank and use canonical validator ID as the tie-break. No rank truncation is allowed. The ring contains every and only active validator exactly once. The schedule is never rewritten when a validator is slow, unavailable, jailed mid-lease without a finalized status transition, or locally unreachable.</w:t>
      </w:r>
    </w:p>
    <w:p>
      <w:pPr>
        <w:pStyle w:val="Heading2"/>
      </w:pPr>
      <w:r>
        <w:t>5. Fixed ten-block leases</w:t>
      </w:r>
    </w:p>
    <w:p>
      <w:r>
        <w:rPr>
          <w:rFonts w:ascii="Aptos Mono" w:hAnsi="Aptos Mono"/>
          <w:color w:val="00587A"/>
          <w:sz w:val="18"/>
        </w:rPr>
        <w:t>leader_lease_blocks = 10</w:t>
      </w:r>
      <w:r>
        <w:t xml:space="preserve">. For height </w:t>
      </w:r>
      <w:r>
        <w:rPr>
          <w:rFonts w:ascii="Aptos Mono" w:hAnsi="Aptos Mono"/>
          <w:color w:val="00587A"/>
          <w:sz w:val="18"/>
        </w:rPr>
        <w:t>h</w:t>
      </w:r>
      <w:r>
        <w:t>:</w:t>
      </w:r>
    </w:p>
    <w:p>
      <w:pPr>
        <w:pStyle w:val="CodeBlock"/>
      </w:pPr>
      <w:r>
        <w:t>lease_index     = floor((h - epoch_start_height) / leader_lease_blocks)</w:t>
        <w:br/>
        <w:t>scheduled_index = lease_index mod validator_count</w:t>
        <w:br/>
        <w:t>scheduled_owner = leader_ring[scheduled_index]</w:t>
        <w:br/>
        <w:t>authorized      = leader_ring[(scheduled_index + takeover_offset) mod validator_count]</w:t>
      </w:r>
    </w:p>
    <w:p>
      <w:r>
        <w:t>The final epoch lease MAY contain fewer than ten blocks. It ends at the exact epoch boundary. Takeover state resets at every predetermined lease boundary; forfeiture never carries into an unrelated future lease.</w:t>
      </w:r>
    </w:p>
    <w:p>
      <w:pPr>
        <w:pStyle w:val="Heading2"/>
      </w:pPr>
      <w:r>
        <w:t>6. Proposal and ordinary vote</w:t>
      </w:r>
    </w:p>
    <w:p>
      <w:r>
        <w:t xml:space="preserve">A </w:t>
      </w:r>
      <w:r>
        <w:rPr>
          <w:rFonts w:ascii="Aptos Mono" w:hAnsi="Aptos Mono"/>
          <w:color w:val="00587A"/>
          <w:sz w:val="18"/>
        </w:rPr>
        <w:t>PROPOSAL</w:t>
      </w:r>
      <w:r>
        <w:t xml:space="preserve"> contains the canonical block/candidate, parent QC, proposer identity, current TC root when takeover is active, protected-execution commitment, and proposer ML-DSA-65 authorization. A proposal is valid only from the uniquely authorized ring member for </w:t>
      </w:r>
      <w:r>
        <w:rPr>
          <w:rFonts w:ascii="Aptos Mono" w:hAnsi="Aptos Mono"/>
          <w:color w:val="00587A"/>
          <w:sz w:val="18"/>
        </w:rPr>
        <w:t>(epoch,height,round)</w:t>
      </w:r>
      <w:r>
        <w:t>.</w:t>
      </w:r>
    </w:p>
    <w:p>
      <w:r>
        <w:rPr>
          <w:rFonts w:ascii="Aptos Mono" w:hAnsi="Aptos Mono"/>
          <w:color w:val="00587A"/>
          <w:sz w:val="18"/>
        </w:rPr>
        <w:t>VOTE</w:t>
      </w:r>
      <w:r>
        <w:t xml:space="preserve"> is the sole ordinary block-vote phase. It binds the proposal block ID, parent block/QC, context, takeover TC root, validator and key. A correct validator:</w:t>
      </w:r>
    </w:p>
    <w:p>
      <w:pPr>
        <w:pStyle w:val="ListBullet"/>
      </w:pPr>
      <w:r>
        <w:t>fully verifies context, proposer authority, parent QC, protected execution, BOC/reveal inputs, and safe-proposal rules;</w:t>
      </w:r>
    </w:p>
    <w:p>
      <w:pPr>
        <w:pStyle w:val="ListBullet"/>
      </w:pPr>
      <w:r>
        <w:t>writes its durable vote authorization before signing;</w:t>
      </w:r>
    </w:p>
    <w:p>
      <w:pPr>
        <w:pStyle w:val="ListBullet"/>
      </w:pPr>
      <w:r>
        <w:t xml:space="preserve">votes at most once per </w:t>
      </w:r>
      <w:r>
        <w:rPr>
          <w:rFonts w:ascii="Aptos Mono" w:hAnsi="Aptos Mono"/>
          <w:color w:val="00587A"/>
          <w:sz w:val="18"/>
        </w:rPr>
        <w:t>(epoch,height,round)</w:t>
      </w:r>
      <w:r>
        <w:t>;</w:t>
      </w:r>
    </w:p>
    <w:p>
      <w:pPr>
        <w:pStyle w:val="ListBullet"/>
      </w:pPr>
      <w:r>
        <w:t>rejects a vote that would move last-voted height/round backward or conflict with its durable lock.</w:t>
      </w:r>
    </w:p>
    <w:p>
      <w:r>
        <w:t>There is no ordinary block VC and no ordinary block FINALITY certificate in this profile.</w:t>
      </w:r>
    </w:p>
    <w:p>
      <w:pPr>
        <w:pStyle w:val="Heading2"/>
      </w:pPr>
      <w:r>
        <w:t>7. Quorum Certificate</w:t>
      </w:r>
    </w:p>
    <w:p>
      <w:r>
        <w:t xml:space="preserve">A QC contains only canonical context, block ID, parent block/QC reference, optional current takeover TC ID, and a canonically validator-ID-sorted bundle of individual participant IDs, key IDs, and ML-DSA-65 signatures. It contains no authoritative cached count, weight, threshold, or </w:t>
      </w:r>
      <w:r>
        <w:rPr>
          <w:rFonts w:ascii="Aptos Mono" w:hAnsi="Aptos Mono"/>
          <w:color w:val="00587A"/>
          <w:sz w:val="18"/>
        </w:rPr>
        <w:t>quorum_met</w:t>
      </w:r>
      <w:r>
        <w:t xml:space="preserve"> boolean.</w:t>
      </w:r>
    </w:p>
    <w:p>
      <w:r>
        <w:t>A verifier rejects noncanonical participant order, duplicates, inactive/revoked/wrong-key signers, context mismatch, bad ancestry, a stale or missing takeover proof, and every invalid signature. It recomputes both strict quorums from the frozen context.</w:t>
      </w:r>
    </w:p>
    <w:p>
      <w:pPr>
        <w:pStyle w:val="Heading2"/>
      </w:pPr>
      <w:r>
        <w:t>8. Safety state and safe proposal rule</w:t>
      </w:r>
    </w:p>
    <w:p>
      <w:r>
        <w:t>Each validator durably persists:</w:t>
      </w:r>
    </w:p>
    <w:p>
      <w:pPr>
        <w:pStyle w:val="ListBullet"/>
      </w:pPr>
      <w:r>
        <w:t>activated epoch/context root;</w:t>
      </w:r>
    </w:p>
    <w:p>
      <w:pPr>
        <w:pStyle w:val="ListBullet"/>
      </w:pPr>
      <w:r>
        <w:t>anchor, highest, and locked QC;</w:t>
      </w:r>
    </w:p>
    <w:p>
      <w:pPr>
        <w:pStyle w:val="ListBullet"/>
      </w:pPr>
      <w:r>
        <w:t>last voted height, round, candidate, and transcript root;</w:t>
      </w:r>
    </w:p>
    <w:p>
      <w:pPr>
        <w:pStyle w:val="ListBullet"/>
      </w:pPr>
      <w:r>
        <w:t>current lease index, effective height, sequential TC chain, and takeover offset;</w:t>
      </w:r>
    </w:p>
    <w:p>
      <w:pPr>
        <w:pStyle w:val="ListBullet"/>
      </w:pPr>
      <w:r>
        <w:t>last finalized height, block, and QC;</w:t>
      </w:r>
    </w:p>
    <w:p>
      <w:pPr>
        <w:pStyle w:val="ListBullet"/>
      </w:pPr>
      <w:r>
        <w:t>verified certified-chain records needed for ancestry and state sync;</w:t>
      </w:r>
    </w:p>
    <w:p>
      <w:pPr>
        <w:pStyle w:val="ListBullet"/>
      </w:pPr>
      <w:r>
        <w:t xml:space="preserve">signer journal and any </w:t>
      </w:r>
      <w:r>
        <w:rPr>
          <w:rFonts w:ascii="Aptos Mono" w:hAnsi="Aptos Mono"/>
          <w:color w:val="00587A"/>
          <w:sz w:val="18"/>
        </w:rPr>
        <w:t>SafetyHalt</w:t>
      </w:r>
      <w:r>
        <w:t xml:space="preserve"> incident.</w:t>
      </w:r>
    </w:p>
    <w:p>
      <w:r>
        <w:t xml:space="preserve">For proposal </w:t>
      </w:r>
      <w:r>
        <w:rPr>
          <w:rFonts w:ascii="Aptos Mono" w:hAnsi="Aptos Mono"/>
          <w:color w:val="00587A"/>
          <w:sz w:val="18"/>
        </w:rPr>
        <w:t>P</w:t>
      </w:r>
      <w:r>
        <w:t xml:space="preserve"> justified by fully verified QC </w:t>
      </w:r>
      <w:r>
        <w:rPr>
          <w:rFonts w:ascii="Aptos Mono" w:hAnsi="Aptos Mono"/>
          <w:color w:val="00587A"/>
          <w:sz w:val="18"/>
        </w:rPr>
        <w:t>Q</w:t>
      </w:r>
      <w:r>
        <w:t xml:space="preserve">, </w:t>
      </w:r>
      <w:r>
        <w:rPr>
          <w:rFonts w:ascii="Aptos Mono" w:hAnsi="Aptos Mono"/>
          <w:color w:val="00587A"/>
          <w:sz w:val="18"/>
        </w:rPr>
        <w:t>safe(P)</w:t>
      </w:r>
      <w:r>
        <w:t xml:space="preserve"> holds only if all ordinary validation succeeds and either:</w:t>
      </w:r>
    </w:p>
    <w:p>
      <w:pPr>
        <w:ind w:left="389" w:hanging="389"/>
      </w:pPr>
      <w:r>
        <w:rPr>
          <w:b/>
        </w:rPr>
        <w:t>1.</w:t>
        <w:tab/>
      </w:r>
      <w:r>
        <w:rPr>
          <w:rFonts w:ascii="Aptos Mono" w:hAnsi="Aptos Mono"/>
          <w:color w:val="00587A"/>
          <w:sz w:val="18"/>
        </w:rPr>
        <w:t>P</w:t>
      </w:r>
      <w:r>
        <w:t xml:space="preserve"> extends the durable locked QC chain; or</w:t>
      </w:r>
    </w:p>
    <w:p>
      <w:pPr>
        <w:ind w:left="389" w:hanging="389"/>
      </w:pPr>
      <w:r>
        <w:rPr>
          <w:b/>
        </w:rPr>
        <w:t>2.</w:t>
        <w:tab/>
      </w:r>
      <w:r>
        <w:rPr>
          <w:rFonts w:ascii="Aptos Mono" w:hAnsi="Aptos Mono"/>
          <w:color w:val="00587A"/>
          <w:sz w:val="18"/>
        </w:rPr>
        <w:t>Q.height &gt; locked_qc.height</w:t>
      </w:r>
      <w:r>
        <w:t xml:space="preserve"> and </w:t>
      </w:r>
      <w:r>
        <w:rPr>
          <w:rFonts w:ascii="Aptos Mono" w:hAnsi="Aptos Mono"/>
          <w:color w:val="00587A"/>
          <w:sz w:val="18"/>
        </w:rPr>
        <w:t>P</w:t>
      </w:r>
      <w:r>
        <w:t xml:space="preserve"> directly extends </w:t>
      </w:r>
      <w:r>
        <w:rPr>
          <w:rFonts w:ascii="Aptos Mono" w:hAnsi="Aptos Mono"/>
          <w:color w:val="00587A"/>
          <w:sz w:val="18"/>
        </w:rPr>
        <w:t>Q</w:t>
      </w:r>
      <w:r>
        <w:t>.</w:t>
      </w:r>
    </w:p>
    <w:p>
      <w:r>
        <w:t>The second clause is the higher-QC unlock rule. TC height/round, elapsed time, a new proposer, or more locally connected peers are not unlock evidence. Lock advancement is monotonic: accepting a certified child advances the lock to its certified parent when that parent is higher.</w:t>
      </w:r>
    </w:p>
    <w:p>
      <w:pPr>
        <w:pStyle w:val="Heading2"/>
      </w:pPr>
      <w:r>
        <w:t>9. Chained-QC finality</w:t>
      </w:r>
    </w:p>
    <w:p>
      <w:r>
        <w:t>Let three consecutive certified blocks be:</w:t>
      </w:r>
    </w:p>
    <w:p>
      <w:pPr>
        <w:pStyle w:val="CodeBlock"/>
      </w:pPr>
      <w:r>
        <w:t>B0 &lt;- B1 &lt;- B2</w:t>
      </w:r>
    </w:p>
    <w:p>
      <w:r>
        <w:t xml:space="preserve">where </w:t>
      </w:r>
      <w:r>
        <w:rPr>
          <w:rFonts w:ascii="Aptos Mono" w:hAnsi="Aptos Mono"/>
          <w:color w:val="00587A"/>
          <w:sz w:val="18"/>
        </w:rPr>
        <w:t>QC(B1)</w:t>
      </w:r>
      <w:r>
        <w:t xml:space="preserve"> directly references </w:t>
      </w:r>
      <w:r>
        <w:rPr>
          <w:rFonts w:ascii="Aptos Mono" w:hAnsi="Aptos Mono"/>
          <w:color w:val="00587A"/>
          <w:sz w:val="18"/>
        </w:rPr>
        <w:t>QC(B0)</w:t>
      </w:r>
      <w:r>
        <w:t xml:space="preserve">, </w:t>
      </w:r>
      <w:r>
        <w:rPr>
          <w:rFonts w:ascii="Aptos Mono" w:hAnsi="Aptos Mono"/>
          <w:color w:val="00587A"/>
          <w:sz w:val="18"/>
        </w:rPr>
        <w:t>QC(B2)</w:t>
      </w:r>
      <w:r>
        <w:t xml:space="preserve"> directly references </w:t>
      </w:r>
      <w:r>
        <w:rPr>
          <w:rFonts w:ascii="Aptos Mono" w:hAnsi="Aptos Mono"/>
          <w:color w:val="00587A"/>
          <w:sz w:val="18"/>
        </w:rPr>
        <w:t>QC(B1)</w:t>
      </w:r>
      <w:r>
        <w:t xml:space="preserve">, heights are consecutive, and every QC is valid under the same applicable frozen contexts. Accepting </w:t>
      </w:r>
      <w:r>
        <w:rPr>
          <w:rFonts w:ascii="Aptos Mono" w:hAnsi="Aptos Mono"/>
          <w:color w:val="00587A"/>
          <w:sz w:val="18"/>
        </w:rPr>
        <w:t>QC(B2)</w:t>
      </w:r>
      <w:r>
        <w:t xml:space="preserve"> commits </w:t>
      </w:r>
      <w:r>
        <w:rPr>
          <w:rFonts w:ascii="Aptos Mono" w:hAnsi="Aptos Mono"/>
          <w:color w:val="00587A"/>
          <w:sz w:val="18"/>
        </w:rPr>
        <w:t>B0</w:t>
      </w:r>
      <w:r>
        <w:t>. The finalized pointer is monotonic and application side effects become externally final only at the atomic commit boundary.</w:t>
      </w:r>
    </w:p>
    <w:p>
      <w:r>
        <w:t>The three-chain MAY cross scheduled leader boundaries, a TC-authorized takeover, or an epoch transition with the separately specified cross-epoch proof. A TC alone never contributes a certified block to the chain.</w:t>
      </w:r>
    </w:p>
    <w:p>
      <w:pPr>
        <w:pStyle w:val="Heading2"/>
      </w:pPr>
      <w:r>
        <w:t>10. Timeout and lease inheritance</w:t>
      </w:r>
    </w:p>
    <w:p>
      <w:r>
        <w:t xml:space="preserve">A local timeout only permits a validator to emit a </w:t>
      </w:r>
      <w:r>
        <w:rPr>
          <w:rFonts w:ascii="Aptos Mono" w:hAnsi="Aptos Mono"/>
          <w:color w:val="00587A"/>
          <w:sz w:val="18"/>
        </w:rPr>
        <w:t>TIMEOUT_VOTE</w:t>
      </w:r>
      <w:r>
        <w:t>. That vote binds the abandoned epoch, lease, height, round, uniquely authorized proposer, highest safe QC, previous TC ID when round is nonzero, signer identity/key, and full frozen context.</w:t>
      </w:r>
    </w:p>
    <w:p>
      <w:r>
        <w:t xml:space="preserve">A TC is a canonical bundle for one exact timeout transcript. It satisfies the same strict count and weight quorums as a QC. Round zero has no predecessor; round </w:t>
      </w:r>
      <w:r>
        <w:rPr>
          <w:rFonts w:ascii="Aptos Mono" w:hAnsi="Aptos Mono"/>
          <w:color w:val="00587A"/>
          <w:sz w:val="18"/>
        </w:rPr>
        <w:t>r &gt; 0</w:t>
      </w:r>
      <w:r>
        <w:t xml:space="preserve"> MUST reference the verified TC for </w:t>
      </w:r>
      <w:r>
        <w:rPr>
          <w:rFonts w:ascii="Aptos Mono" w:hAnsi="Aptos Mono"/>
          <w:color w:val="00587A"/>
          <w:sz w:val="18"/>
        </w:rPr>
        <w:t>r-1</w:t>
      </w:r>
      <w:r>
        <w:t xml:space="preserve">. A valid sequential TC increments </w:t>
      </w:r>
      <w:r>
        <w:rPr>
          <w:rFonts w:ascii="Aptos Mono" w:hAnsi="Aptos Mono"/>
          <w:color w:val="00587A"/>
          <w:sz w:val="18"/>
        </w:rPr>
        <w:t>takeover_offset</w:t>
      </w:r>
      <w:r>
        <w:t xml:space="preserve"> by exactly one and transfers the remaining current lease to the next ring validator. No separate replacement, transfer, recovery, or finality certificate exists.</w:t>
      </w:r>
    </w:p>
    <w:p>
      <w:r>
        <w:t xml:space="preserve">Stale, duplicated, wrong-height, wrong-lease, wrong-round, skipped-predecessor, wrong-proposer, weaker-highest-QC, or nonquorate TCs are rejected. At the next lease boundary, </w:t>
      </w:r>
      <w:r>
        <w:rPr>
          <w:rFonts w:ascii="Aptos Mono" w:hAnsi="Aptos Mono"/>
          <w:color w:val="00587A"/>
          <w:sz w:val="18"/>
        </w:rPr>
        <w:t>takeover_offset</w:t>
      </w:r>
      <w:r>
        <w:t xml:space="preserve"> returns to zero and the original epoch schedule applies.</w:t>
      </w:r>
    </w:p>
    <w:p>
      <w:pPr>
        <w:pStyle w:val="Heading2"/>
      </w:pPr>
      <w:r>
        <w:t>11. Five-validator Testnet-v3 profile</w:t>
      </w:r>
    </w:p>
    <w:p>
      <w:r>
        <w:t>The initial activation target is exactly five active validators in one cluster. Four distinct signatures are required, and four are insufficient when their frozen weight does not strictly exceed two-thirds. To claim single-validator-failure liveness, every leave-one-out validator set MUST retain strict frozen-weight quorum. Therefore no validator may hold one-third or more of total frozen weight.</w:t>
      </w:r>
    </w:p>
    <w:p>
      <w:r>
        <w:t>Boot, seed, relay, archive, explorer, RPC, observer, and indexer roles have zero implicit consensus authority unless the exact identity appears in the frozen active set. Single-authority shortcuts are prohibited after v3 activation.</w:t>
      </w:r>
    </w:p>
    <w:p>
      <w:pPr>
        <w:pStyle w:val="Heading2"/>
      </w:pPr>
      <w:r>
        <w:t>12. Restart and state sync</w:t>
      </w:r>
    </w:p>
    <w:p>
      <w:r>
        <w:t>Before signing after restart, a validator verifies the persisted record root, reconciles the signer journal, restores the epoch context, highest/locked QCs, last vote, finalized head, TC chain, and SafetyHalt state, and validates all roots against the activated transition. Missing or inconsistent state fails closed.</w:t>
      </w:r>
    </w:p>
    <w:p>
      <w:r>
        <w:t>State sync supplies a certified anchor plus the contiguous QC chain and any sequential TCs needed to explain current proposal authority. The receiver independently verifies all certificates and reconstructs the same safety state. Routine recovery never deletes journals, forces a leader, edits height, lowers quorum, or depends on restart order.</w:t>
      </w:r>
    </w:p>
    <w:p>
      <w:pPr>
        <w:pStyle w:val="Heading2"/>
      </w:pPr>
      <w:r>
        <w:t>13. Canonical schemas and domains</w:t>
      </w:r>
    </w:p>
    <w:p>
      <w:r>
        <w:t xml:space="preserve">Normative schema details are in </w:t>
      </w:r>
      <w:r>
        <w:rPr>
          <w:rFonts w:ascii="Aptos Mono" w:hAnsi="Aptos Mono"/>
          <w:color w:val="00587A"/>
          <w:sz w:val="18"/>
        </w:rPr>
        <w:t>CONSENSUS_OBJECT_SCHEMAS.md</w:t>
      </w:r>
      <w:r>
        <w:t xml:space="preserve">. Consensus domains begin with </w:t>
      </w:r>
      <w:r>
        <w:rPr>
          <w:rFonts w:ascii="Aptos Mono" w:hAnsi="Aptos Mono"/>
          <w:color w:val="00587A"/>
          <w:sz w:val="18"/>
        </w:rPr>
        <w:t>PoSy/Consensus/v3/</w:t>
      </w:r>
      <w:r>
        <w:t xml:space="preserve">; the leader rank domain is exactly </w:t>
      </w:r>
      <w:r>
        <w:rPr>
          <w:rFonts w:ascii="Aptos Mono" w:hAnsi="Aptos Mono"/>
          <w:color w:val="00587A"/>
          <w:sz w:val="18"/>
        </w:rPr>
        <w:t>PoSy/LeaderSchedule/v3</w:t>
      </w:r>
      <w:r>
        <w:t>. Unknown fields and noncanonical encodings are rejected. Historical v2.2 parsing is read/sync compatibility only and never changes active v3 semantics.</w:t>
      </w:r>
    </w:p>
    <w:p>
      <w:pPr>
        <w:pStyle w:val="Heading2"/>
      </w:pPr>
      <w:r>
        <w:t>14. Required observability</w:t>
      </w:r>
    </w:p>
    <w:p>
      <w:r>
        <w:t>Implementations expose bounded, non-consensus measurements for proposal latency, vote propagation, QC formation, chained finality, TC recovery, leader takeover, PQC verification, certificate size, and restart/rejoin. Measurements never authorize a proposer, change timeout evidence, or relax validation.</w:t>
      </w:r>
    </w:p>
    <w:p>
      <w:pPr>
        <w:pStyle w:val="Heading2"/>
      </w:pPr>
      <w:r>
        <w:t>15. Activation gates</w:t>
      </w:r>
    </w:p>
    <w:p>
      <w:pPr>
        <w:ind w:left="389" w:hanging="389"/>
      </w:pPr>
      <w:r>
        <w:rPr>
          <w:b/>
        </w:rPr>
        <w:t>1.</w:t>
        <w:tab/>
      </w:r>
      <w:r>
        <w:t>Specification and cross-repository publication are ratified.</w:t>
      </w:r>
    </w:p>
    <w:p>
      <w:pPr>
        <w:ind w:left="389" w:hanging="389"/>
      </w:pPr>
      <w:r>
        <w:rPr>
          <w:b/>
        </w:rPr>
        <w:t>2.</w:t>
        <w:tab/>
      </w:r>
      <w:r>
        <w:t>The canonical v3 manifest is finalized with approval ID, activation epoch/height, and exact root.</w:t>
      </w:r>
    </w:p>
    <w:p>
      <w:pPr>
        <w:ind w:left="389" w:hanging="389"/>
      </w:pPr>
      <w:r>
        <w:rPr>
          <w:b/>
        </w:rPr>
        <w:t>3.</w:t>
        <w:tab/>
      </w:r>
      <w:r>
        <w:t>Five approved public validator identities, ML-DSA-65 keys, active-set/key/weight/ring roots, and identical all-node preflight are evidenced.</w:t>
      </w:r>
    </w:p>
    <w:p>
      <w:pPr>
        <w:ind w:left="389" w:hanging="389"/>
      </w:pPr>
      <w:r>
        <w:rPr>
          <w:b/>
        </w:rPr>
        <w:t>4.</w:t>
        <w:tab/>
      </w:r>
      <w:r>
        <w:t>Signer-journal, lock, chained-finality, TC, restart, state-sync, fork, and SafetyHalt tests pass, including property/model analysis.</w:t>
      </w:r>
    </w:p>
    <w:p>
      <w:pPr>
        <w:ind w:left="389" w:hanging="389"/>
      </w:pPr>
      <w:r>
        <w:rPr>
          <w:b/>
        </w:rPr>
        <w:t>5.</w:t>
        <w:tab/>
      </w:r>
      <w:r>
        <w:t>Five independent node processes pass single/two-failure, partition-heal, restart, lease-boundary, and repeated-failure scenarios.</w:t>
      </w:r>
    </w:p>
    <w:p>
      <w:pPr>
        <w:ind w:left="389" w:hanging="389"/>
      </w:pPr>
      <w:r>
        <w:rPr>
          <w:b/>
        </w:rPr>
        <w:t>6.</w:t>
        <w:tab/>
      </w:r>
      <w:r>
        <w:t>Full runtime suites pass; no inherited production engine is enabled.</w:t>
      </w:r>
    </w:p>
    <w:p>
      <w:pPr>
        <w:ind w:left="389" w:hanging="389"/>
      </w:pPr>
      <w:r>
        <w:rPr>
          <w:b/>
        </w:rPr>
        <w:t>7.</w:t>
        <w:tab/>
      </w:r>
      <w:r>
        <w:t>At least 10,000 representative blocks establish proposal/vote/QC/finality/takeover/PQC/certificate/rejoin distributions.</w:t>
      </w:r>
    </w:p>
    <w:p>
      <w:pPr>
        <w:ind w:left="389" w:hanging="389"/>
      </w:pPr>
      <w:r>
        <w:rPr>
          <w:b/>
        </w:rPr>
        <w:t>8.</w:t>
        <w:tab/>
      </w:r>
      <w:r>
        <w:t>Migration and abort/fail-closed procedures are rehearsed with all five nodes at one certified state.</w:t>
      </w:r>
    </w:p>
    <w:p>
      <w:pPr>
        <w:ind w:left="389" w:hanging="389"/>
      </w:pPr>
      <w:r>
        <w:rPr>
          <w:b/>
        </w:rPr>
        <w:t>9.</w:t>
        <w:tab/>
      </w:r>
      <w:r>
        <w:t>ETDAG, security, operations, release, governance, and all existing Testnet-v3 launch controls pass.</w:t>
      </w:r>
    </w:p>
    <w:p>
      <w:r>
        <w:t>Until then the profile remains a proposal and Testnet-v3 launch status remains blocked.</w:t>
      </w:r>
    </w:p>
    <w:sectPr w:rsidR="00FC693F" w:rsidRPr="0006063C" w:rsidSect="00034616">
      <w:headerReference w:type="default" r:id="rId9"/>
      <w:headerReference w:type="even" r:id="rId10"/>
      <w:headerReference w:type="first" r:id="rId11"/>
      <w:footerReference w:type="default" r:id="rId12"/>
      <w:pgSz w:w="12240" w:h="15840"/>
      <w:pgMar w:top="1037" w:right="1181" w:bottom="1008" w:left="1181"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C697A"/>
        <w:sz w:val="16"/>
      </w:rPr>
      <w:t xml:space="preserve">PoSy v3 Amendment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007F8B"/>
        <w:sz w:val="16"/>
      </w:rPr>
      <w:t>SYNERGY NETWORK  /  PROOF OF SYNERGY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007F8B"/>
        <w:sz w:val="16"/>
      </w:rPr>
      <w:t>SYNERGY NETWORK  /  PROOF OF SYNERGY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007F8B"/>
        <w:sz w:val="16"/>
      </w:rPr>
      <w:t>SYNERGY NETWORK  /  PROOF OF SYNERGY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02B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C55"/>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7F8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007F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3C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20"/>
      <w:ind w:left="346" w:right="173"/>
      <w:shd w:fill="EAF3F5"/>
    </w:pPr>
    <w:rPr>
      <w:rFonts w:ascii="Aptos Mono" w:hAnsi="Aptos Mono"/>
      <w:color w:val="16334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POSY-00E - PoSy v3 simplified chained-QC consensus amendment</dc:title>
  <dc:subject>Proposed, non-activated Proof of Synergy consensus amendment</dc:subject>
  <dc:creator>Synergy Network</dc:creator>
  <cp:keywords>PoSy, consensus, chained QC, leader lease, Testnet-v3</cp:keywords>
  <dc:description>generated by python-docx</dc:description>
  <cp:lastModifiedBy/>
  <cp:revision>1</cp:revision>
  <dcterms:created xsi:type="dcterms:W3CDTF">2013-12-23T23:15:00Z</dcterms:created>
  <dcterms:modified xsi:type="dcterms:W3CDTF">2013-12-23T23:15:00Z</dcterms:modified>
  <cp:category/>
</cp:coreProperties>
</file>