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headless-ubuntulinux-guide"/>
    <w:p>
      <w:pPr>
        <w:pStyle w:val="Heading1"/>
      </w:pPr>
      <w:r>
        <w:t xml:space="preserve">Headless Ubuntu/Linux Guide</w:t>
      </w:r>
    </w:p>
    <w:p>
      <w:pPr>
        <w:pStyle w:val="FirstParagraph"/>
      </w:pPr>
      <w:r>
        <w:t xml:space="preserve">Use this guide when the validator runs on Ubuntu/Linux without a local desktop. The supported workflow is a desktop Control Panel operating the target over SSH. The Control Panel does the target setup, signed sidecar transfer, secure-network enrollment, snapshot workflow, and lifecycle actions.</w:t>
      </w:r>
    </w:p>
    <w:bookmarkStart w:id="9" w:name="target-requirements"/>
    <w:p>
      <w:pPr>
        <w:pStyle w:val="Heading2"/>
      </w:pPr>
      <w:r>
        <w:t xml:space="preserve">Target Requirements</w:t>
      </w:r>
    </w:p>
    <w:p>
      <w:pPr>
        <w:pStyle w:val="Compact"/>
        <w:numPr>
          <w:ilvl w:val="0"/>
          <w:numId w:val="1001"/>
        </w:numPr>
      </w:pPr>
      <w:r>
        <w:t xml:space="preserve">Linux target on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/</w:t>
      </w:r>
      <w:r>
        <w:rPr>
          <w:rStyle w:val="VerbatimChar"/>
        </w:rPr>
        <w:t xml:space="preserve">amd64</w:t>
      </w:r>
      <w:r>
        <w:t xml:space="preserve">. The current release packages the remote control sidecar and Innernet enrollment runtime for Linux</w:t>
      </w:r>
      <w:r>
        <w:t xml:space="preserve"> </w:t>
      </w:r>
      <w:r>
        <w:rPr>
          <w:rStyle w:val="VerbatimChar"/>
        </w:rPr>
        <w:t xml:space="preserve">amd64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01"/>
        </w:numPr>
      </w:pPr>
      <w:r>
        <w:t xml:space="preserve">Ubuntu 22.04 LTS or newer is recommended, with a durable SSD, automatic time synchronization, stable internet, and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coordinator-issued one-time onboarding token. Validator P2P runs over the private Synergy validator network; keep</w:t>
      </w:r>
      <w:r>
        <w:t xml:space="preserve"> </w:t>
      </w:r>
      <w:r>
        <w:rPr>
          <w:rStyle w:val="VerbatimChar"/>
        </w:rPr>
        <w:t xml:space="preserve">5622/tcp</w:t>
      </w:r>
      <w:r>
        <w:t xml:space="preserve">, RPC, WebSocket, metrics, and management ports private.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,</w:t>
      </w:r>
      <w:r>
        <w:t xml:space="preserve"> </w:t>
      </w:r>
      <w:r>
        <w:rPr>
          <w:rStyle w:val="VerbatimChar"/>
        </w:rPr>
        <w:t xml:space="preserve">wireguard-tools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iproute2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wg-quick</w:t>
      </w:r>
      <w:r>
        <w:t xml:space="preserve"> </w:t>
      </w:r>
      <w:r>
        <w:t xml:space="preserve">are required only for the legacy validator VPN helper; after Innernet migration that helper must not be used for enrollment.</w:t>
      </w:r>
    </w:p>
    <w:p>
      <w:pPr>
        <w:pStyle w:val="FirstParagraph"/>
      </w:pPr>
      <w:r>
        <w:t xml:space="preserve">The remote target must be reachable by SSH. The Control Panel accepts a host name, SSH port, and username; do not use an untrusted mirror or an ad hoc binary copied from chat.</w:t>
      </w:r>
    </w:p>
    <w:bookmarkEnd w:id="9"/>
    <w:bookmarkStart w:id="10" w:name="ssh-target-and-signed-remote-runtime"/>
    <w:p>
      <w:pPr>
        <w:pStyle w:val="Heading2"/>
      </w:pPr>
      <w:r>
        <w:t xml:space="preserve">SSH Target And Signed Remote Runtime</w:t>
      </w:r>
    </w:p>
    <w:p>
      <w:pPr>
        <w:pStyle w:val="FirstParagraph"/>
      </w:pPr>
      <w:r>
        <w:t xml:space="preserve">From the desktop Control Panel:</w:t>
      </w:r>
    </w:p>
    <w:p>
      <w:pPr>
        <w:pStyle w:val="Compact"/>
        <w:numPr>
          <w:ilvl w:val="0"/>
          <w:numId w:val="100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Remote server over SSH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Create Validator Identity &amp; Backup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SSH Target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Choose one of the supported connection methods:</w:t>
      </w:r>
      <w:r>
        <w:t xml:space="preserve"> </w:t>
      </w:r>
      <w:r>
        <w:rPr>
          <w:rStyle w:val="VerbatimChar"/>
        </w:rPr>
        <w:t xml:space="preserve">NCP managed SSH 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Existing SSH key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One-time password bootstrap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For managed-key or one-time-password bootstrap, protect the stored key with the</w:t>
      </w:r>
      <w:r>
        <w:t xml:space="preserve"> </w:t>
      </w:r>
      <w:r>
        <w:rPr>
          <w:b/>
          <w:bCs/>
        </w:rPr>
        <w:t xml:space="preserve">Key-storage passphrase</w:t>
      </w:r>
      <w:r>
        <w:t xml:space="preserve">. For an existing key, select an absolute private-key path.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Test SSH Connection</w:t>
      </w:r>
      <w:r>
        <w:t xml:space="preserve">. Resolve host-key, username, permissions, and non-interactive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failures before continuing.</w:t>
      </w:r>
    </w:p>
    <w:p>
      <w:pPr>
        <w:pStyle w:val="FirstParagraph"/>
      </w:pPr>
      <w:r>
        <w:t xml:space="preserve">The app uses one managed SSH control connection per target. It verifies that the target is Linux</w:t>
      </w:r>
      <w:r>
        <w:t xml:space="preserve"> </w:t>
      </w:r>
      <w:r>
        <w:rPr>
          <w:rStyle w:val="VerbatimChar"/>
        </w:rPr>
        <w:t xml:space="preserve">amd64</w:t>
      </w:r>
      <w:r>
        <w:t xml:space="preserve">, transfers the packaged</w:t>
      </w:r>
      <w:r>
        <w:t xml:space="preserve"> </w:t>
      </w:r>
      <w:r>
        <w:rPr>
          <w:rStyle w:val="VerbatimChar"/>
        </w:rPr>
        <w:t xml:space="preserve">synergy-control-linux-amd64</w:t>
      </w:r>
      <w:r>
        <w:t xml:space="preserve"> </w:t>
      </w:r>
      <w:r>
        <w:t xml:space="preserve">sidecar to</w:t>
      </w:r>
      <w:r>
        <w:t xml:space="preserve"> </w:t>
      </w:r>
      <w:r>
        <w:rPr>
          <w:rStyle w:val="VerbatimChar"/>
        </w:rPr>
        <w:t xml:space="preserve">$HOME/.local/lib/synergy-ncp/</w:t>
      </w:r>
      <w:r>
        <w:t xml:space="preserve">, verifies its SHA-256, and removes temporary request files after each action. Do not replace that sidecar manually.</w:t>
      </w:r>
    </w:p>
    <w:p>
      <w:pPr>
        <w:pStyle w:val="BodyText"/>
      </w:pPr>
      <w:r>
        <w:t xml:space="preserve">Remote lifecycle actions are invoked by the app's allowlisted commands, including</w:t>
      </w:r>
      <w:r>
        <w:t xml:space="preserve"> </w:t>
      </w:r>
      <w:r>
        <w:rPr>
          <w:rStyle w:val="VerbatimChar"/>
        </w:rPr>
        <w:t xml:space="preserve">device-check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setup-node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backup-keys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record-innernet-enrollment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record-validator-funding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stake-validator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download-validator-snapshot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verify-validator-snapshot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apply-validator-snapshot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validator-sync-catch-up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validator-normal-sync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validator-onboarding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testnet-state</w:t>
      </w:r>
      <w:r>
        <w:t xml:space="preserve">.</w:t>
      </w:r>
    </w:p>
    <w:bookmarkEnd w:id="10"/>
    <w:bookmarkStart w:id="11" w:name="optional-testnet-agent"/>
    <w:p>
      <w:pPr>
        <w:pStyle w:val="Heading2"/>
      </w:pPr>
      <w:r>
        <w:t xml:space="preserve">Optional Testnet Agent</w:t>
      </w:r>
    </w:p>
    <w:p>
      <w:pPr>
        <w:pStyle w:val="FirstParagraph"/>
      </w:pPr>
      <w:r>
        <w:t xml:space="preserve">The bundled</w:t>
      </w:r>
      <w:r>
        <w:t xml:space="preserve"> </w:t>
      </w:r>
      <w:r>
        <w:rPr>
          <w:rStyle w:val="VerbatimChar"/>
        </w:rPr>
        <w:t xml:space="preserve">synergy-testnet-agent</w:t>
      </w:r>
      <w:r>
        <w:t xml:space="preserve"> </w:t>
      </w:r>
      <w:r>
        <w:t xml:space="preserve">is a separate lifecycle service for existing installer-backed node slots. It supports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setup_node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install_node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bootstrap_node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reset_chain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sync_node</w:t>
      </w:r>
      <w:r>
        <w:t xml:space="preserve">, and the listed validator VPN helper operations. It is not a replacement for validator identity, wallet signing, canonical archive verification, or activation policy.</w:t>
      </w:r>
    </w:p>
    <w:p>
      <w:pPr>
        <w:pStyle w:val="BodyText"/>
      </w:pPr>
      <w:r>
        <w:t xml:space="preserve">The repository-supported deployment path is: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scripts/testnet/remote-node-orchestrator.sh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node-slot-id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deploy_agent</w:t>
      </w:r>
    </w:p>
    <w:p>
      <w:pPr>
        <w:pStyle w:val="FirstParagraph"/>
      </w:pPr>
      <w:r>
        <w:t xml:space="preserve">The agent listens on port</w:t>
      </w:r>
      <w:r>
        <w:t xml:space="preserve"> </w:t>
      </w:r>
      <w:r>
        <w:rPr>
          <w:rStyle w:val="VerbatimChar"/>
        </w:rPr>
        <w:t xml:space="preserve">47990</w:t>
      </w:r>
      <w:r>
        <w:t xml:space="preserve">. Its local health endpoint is: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http://127.0.0.1:47990/health</w:t>
      </w:r>
    </w:p>
    <w:p>
      <w:pPr>
        <w:pStyle w:val="FirstParagraph"/>
      </w:pPr>
      <w:r>
        <w:t xml:space="preserve">Its control endpoint is</w:t>
      </w:r>
      <w:r>
        <w:t xml:space="preserve"> </w:t>
      </w:r>
      <w:r>
        <w:rPr>
          <w:rStyle w:val="VerbatimChar"/>
        </w:rPr>
        <w:t xml:space="preserve">POST /v1/control</w:t>
      </w:r>
      <w:r>
        <w:t xml:space="preserve">. Example for a status check on an installer-backed slot: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http://127.0.0.1:47990/v1/control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'{"node_slot_id":"&lt;node-slot-id&gt;","action":"status"}'</w:t>
      </w:r>
    </w:p>
    <w:p>
      <w:pPr>
        <w:pStyle w:val="FirstParagraph"/>
      </w:pPr>
      <w:r>
        <w:t xml:space="preserve">The agent binds to loopback by default. Non-loopback control requires an approved management network and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SYNERGY_TESTNET_AGENT_TOKEN</w:t>
      </w:r>
      <w:r>
        <w:t xml:space="preserve">; never expose port</w:t>
      </w:r>
      <w:r>
        <w:t xml:space="preserve"> </w:t>
      </w:r>
      <w:r>
        <w:rPr>
          <w:rStyle w:val="VerbatimChar"/>
        </w:rPr>
        <w:t xml:space="preserve">47990</w:t>
      </w:r>
      <w:r>
        <w:t xml:space="preserve"> </w:t>
      </w:r>
      <w:r>
        <w:t xml:space="preserve">publicly. Use the Control Panel/SSH path for first-time community validator onboarding.</w:t>
      </w:r>
    </w:p>
    <w:bookmarkEnd w:id="11"/>
    <w:bookmarkStart w:id="13" w:name="full-remote-validator-setup"/>
    <w:p>
      <w:pPr>
        <w:pStyle w:val="Heading2"/>
      </w:pPr>
      <w:r>
        <w:t xml:space="preserve">Full Remote Validator Setup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b/>
          <w:bCs/>
        </w:rPr>
        <w:t xml:space="preserve">Test SSH Connection</w:t>
      </w:r>
      <w:r>
        <w:t xml:space="preserve"> </w:t>
      </w:r>
      <w:r>
        <w:t xml:space="preserve">succeeds, follow</w:t>
      </w:r>
      <w:r>
        <w:t xml:space="preserve"> </w:t>
      </w:r>
      <w:hyperlink r:id="rId12">
        <w:r>
          <w:rPr>
            <w:rStyle w:val="Hyperlink"/>
          </w:rPr>
          <w:t xml:space="preserve">Validator lifecycle</w:t>
        </w:r>
      </w:hyperlink>
      <w:r>
        <w:t xml:space="preserve"> </w:t>
      </w:r>
      <w:r>
        <w:t xml:space="preserve">in the same order: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 Validator Identity &amp; Backup</w:t>
      </w:r>
      <w:r>
        <w:t xml:space="preserve">: choose the target, set the target storage location and passphrase, click</w:t>
      </w:r>
      <w:r>
        <w:t xml:space="preserve"> </w:t>
      </w:r>
      <w:r>
        <w:rPr>
          <w:b/>
          <w:bCs/>
        </w:rPr>
        <w:t xml:space="preserve">Create Validator Identity</w:t>
      </w:r>
      <w:r>
        <w:t xml:space="preserve">, export the encrypted backup, and confirm it.</w:t>
      </w:r>
    </w:p>
    <w:p>
      <w:pPr>
        <w:pStyle w:val="Compact"/>
        <w:numPr>
          <w:ilvl w:val="0"/>
          <w:numId w:val="1003"/>
        </w:numPr>
      </w:pPr>
      <w:r>
        <w:t xml:space="preserve">Connect</w:t>
      </w:r>
      <w:r>
        <w:t xml:space="preserve"> </w:t>
      </w:r>
      <w:r>
        <w:rPr>
          <w:b/>
          <w:bCs/>
        </w:rPr>
        <w:t xml:space="preserve">Synergy Wallet</w:t>
      </w:r>
      <w:r>
        <w:t xml:space="preserve"> </w:t>
      </w:r>
      <w:r>
        <w:t xml:space="preserve">on the desktop operator machine. Wallet approval is external; the remote target never receives the wallet private key.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Fund 50,000 SNRG</w:t>
      </w:r>
      <w:r>
        <w:t xml:space="preserve"> </w:t>
      </w:r>
      <w:r>
        <w:t xml:space="preserve">for the generated validator address and wait for confirmed validator funding. Never send a second transfer while</w:t>
      </w:r>
      <w:r>
        <w:t xml:space="preserve"> </w:t>
      </w:r>
      <w:r>
        <w:rPr>
          <w:rStyle w:val="VerbatimChar"/>
        </w:rPr>
        <w:t xml:space="preserve">stake_pending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 Device, Secure Connection &amp; Sync</w:t>
      </w:r>
      <w:r>
        <w:t xml:space="preserve">: run</w:t>
      </w:r>
      <w:r>
        <w:t xml:space="preserve"> </w:t>
      </w:r>
      <w:r>
        <w:rPr>
          <w:b/>
          <w:bCs/>
        </w:rPr>
        <w:t xml:space="preserve">Run Device Check</w:t>
      </w:r>
      <w:r>
        <w:t xml:space="preserve">, enter the coordinator token, and click</w:t>
      </w:r>
      <w:r>
        <w:t xml:space="preserve"> </w:t>
      </w:r>
      <w:r>
        <w:rPr>
          <w:b/>
          <w:bCs/>
        </w:rPr>
        <w:t xml:space="preserve">Connect Secure Network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Require</w:t>
      </w:r>
      <w:r>
        <w:t xml:space="preserve"> </w:t>
      </w:r>
      <w:r>
        <w:rPr>
          <w:b/>
          <w:bCs/>
        </w:rPr>
        <w:t xml:space="preserve">Secure Network Confirmed</w:t>
      </w:r>
      <w:r>
        <w:t xml:space="preserve"> </w:t>
      </w:r>
      <w:r>
        <w:t xml:space="preserve">with coordinator receipt, assigned interface/IP, peer handshake, and propagation evidence. Confirmed funding permits this bootstrap, but it does not permit activation or consensus.</w:t>
      </w:r>
    </w:p>
    <w:p>
      <w:pPr>
        <w:pStyle w:val="Compact"/>
        <w:numPr>
          <w:ilvl w:val="0"/>
          <w:numId w:val="1003"/>
        </w:numPr>
      </w:pPr>
      <w:r>
        <w:t xml:space="preserve">Run the verified archive snapshot path. The app performs discover, download, verify, apply, and guarded catch-up through SSH.</w:t>
      </w:r>
      <w:r>
        <w:t xml:space="preserve"> </w:t>
      </w:r>
      <w:r>
        <w:rPr>
          <w:b/>
          <w:bCs/>
        </w:rPr>
        <w:t xml:space="preserve">Use Normal Sync</w:t>
      </w:r>
      <w:r>
        <w:t xml:space="preserve"> </w:t>
      </w:r>
      <w:r>
        <w:t xml:space="preserve">is allowed only when the UI's normal-sync evidence gate passes.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 Validator Onboarding</w:t>
      </w:r>
      <w:r>
        <w:t xml:space="preserve">. The remote runtime loads the validator wallet, completes the local self-bond once, verifies bonded stake on-chain, then continues RPC, peer, seed, head-sync, and preflight checks.</w:t>
      </w:r>
    </w:p>
    <w:p>
      <w:pPr>
        <w:pStyle w:val="Compact"/>
        <w:numPr>
          <w:ilvl w:val="0"/>
          <w:numId w:val="1003"/>
        </w:numPr>
      </w:pPr>
      <w:r>
        <w:t xml:space="preserve">Submit activation only when</w:t>
      </w:r>
      <w:r>
        <w:t xml:space="preserve"> </w:t>
      </w:r>
      <w:r>
        <w:rPr>
          <w:b/>
          <w:bCs/>
        </w:rPr>
        <w:t xml:space="preserve">Activation Preflight</w:t>
      </w:r>
      <w:r>
        <w:t xml:space="preserve"> </w:t>
      </w:r>
      <w:r>
        <w:t xml:space="preserve">enables</w:t>
      </w:r>
      <w:r>
        <w:t xml:space="preserve"> </w:t>
      </w:r>
      <w:r>
        <w:rPr>
          <w:b/>
          <w:bCs/>
        </w:rPr>
        <w:t xml:space="preserve">Submit Activation Transaction</w:t>
      </w:r>
      <w:r>
        <w:t xml:space="preserve">. Wait for canonical registry confirmation before treating the remote validator as active.</w:t>
      </w:r>
    </w:p>
    <w:bookmarkEnd w:id="13"/>
    <w:bookmarkStart w:id="14" w:name="remote-verification"/>
    <w:p>
      <w:pPr>
        <w:pStyle w:val="Heading2"/>
      </w:pPr>
      <w:r>
        <w:t xml:space="preserve">Remote Verification</w:t>
      </w:r>
    </w:p>
    <w:p>
      <w:pPr>
        <w:pStyle w:val="FirstParagraph"/>
      </w:pPr>
      <w:r>
        <w:t xml:space="preserve">On the target, use the generated local RPC only through the SSH target or a private management path. For a standard validator port: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http://127.0.0.1:5640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'{"jsonrpc":"2.0","id":1,"method":"synergy_blockNumber","params":[]}'</w:t>
      </w:r>
    </w:p>
    <w:p>
      <w:pPr>
        <w:pStyle w:val="FirstParagraph"/>
      </w:pPr>
      <w:r>
        <w:t xml:space="preserve">From the desktop operator machine, use the Control Panel</w:t>
      </w:r>
      <w:r>
        <w:t xml:space="preserve"> </w:t>
      </w:r>
      <w:r>
        <w:rPr>
          <w:b/>
          <w:bCs/>
        </w:rPr>
        <w:t xml:space="preserve">Validator Detail</w:t>
      </w:r>
      <w:r>
        <w:t xml:space="preserve">,</w:t>
      </w:r>
      <w:r>
        <w:t xml:space="preserve"> </w:t>
      </w:r>
      <w:r>
        <w:rPr>
          <w:b/>
          <w:bCs/>
        </w:rPr>
        <w:t xml:space="preserve">Connections</w:t>
      </w:r>
      <w:r>
        <w:t xml:space="preserve">,</w:t>
      </w:r>
      <w:r>
        <w:t xml:space="preserve"> </w:t>
      </w:r>
      <w:r>
        <w:rPr>
          <w:b/>
          <w:bCs/>
        </w:rPr>
        <w:t xml:space="preserve">Logs</w:t>
      </w:r>
      <w:r>
        <w:t xml:space="preserve">,</w:t>
      </w:r>
      <w:r>
        <w:t xml:space="preserve"> </w:t>
      </w:r>
      <w:r>
        <w:rPr>
          <w:b/>
          <w:bCs/>
        </w:rPr>
        <w:t xml:space="preserve">Incidents</w:t>
      </w:r>
      <w:r>
        <w:t xml:space="preserve">, and</w:t>
      </w:r>
      <w:r>
        <w:t xml:space="preserve"> </w:t>
      </w:r>
      <w:r>
        <w:rPr>
          <w:b/>
          <w:bCs/>
        </w:rPr>
        <w:t xml:space="preserve">Diagnostics</w:t>
      </w:r>
      <w:r>
        <w:t xml:space="preserve"> </w:t>
      </w:r>
      <w:r>
        <w:t xml:space="preserve">surfaces for evidence. Do not open RPC or agent ports to make the dashboard work.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Operations</w:t>
      </w:r>
      <w:r>
        <w:t xml:space="preserve"> </w:t>
      </w:r>
      <w:r>
        <w:t xml:space="preserve">terminal belongs to the desktop computer running the Control Panel; selecting a remote validator does not turn it into an SSH terminal for that server. Use the Control Panel's structured action buttons for the selected remote workspace. Use a separately approved SSH session only when Synergy support provides an exact server command.</w:t>
      </w:r>
    </w:p>
    <w:bookmarkEnd w:id="14"/>
    <w:bookmarkStart w:id="15" w:name="security-requirements"/>
    <w:p>
      <w:pPr>
        <w:pStyle w:val="Heading2"/>
      </w:pPr>
      <w:r>
        <w:t xml:space="preserve">Security Requirements</w:t>
      </w:r>
    </w:p>
    <w:p>
      <w:pPr>
        <w:pStyle w:val="Compact"/>
        <w:numPr>
          <w:ilvl w:val="0"/>
          <w:numId w:val="1004"/>
        </w:numPr>
      </w:pPr>
      <w:r>
        <w:t xml:space="preserve">Use a dedicated non-root SSH account with only the scoped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permissions required by the installer/control service. The remote secure-network path requires non-interactive scoped elevation; if it is unavailable, the action fails closed.</w:t>
      </w:r>
    </w:p>
    <w:p>
      <w:pPr>
        <w:pStyle w:val="Compact"/>
        <w:numPr>
          <w:ilvl w:val="0"/>
          <w:numId w:val="1004"/>
        </w:numPr>
      </w:pPr>
      <w:r>
        <w:t xml:space="preserve">Prefer</w:t>
      </w:r>
      <w:r>
        <w:t xml:space="preserve"> </w:t>
      </w:r>
      <w:r>
        <w:rPr>
          <w:rStyle w:val="VerbatimChar"/>
        </w:rPr>
        <w:t xml:space="preserve">NCP managed SSH key</w:t>
      </w:r>
      <w:r>
        <w:t xml:space="preserve"> </w:t>
      </w:r>
      <w:r>
        <w:t xml:space="preserve">or an existing protected key. One-time passwords are for bootstrap only; do not retain them.</w:t>
      </w:r>
    </w:p>
    <w:p>
      <w:pPr>
        <w:pStyle w:val="Compact"/>
        <w:numPr>
          <w:ilvl w:val="0"/>
          <w:numId w:val="1004"/>
        </w:numPr>
      </w:pPr>
      <w:r>
        <w:t xml:space="preserve">Keep the Control Panel's target store and key-storage passphrase protected by the OS keychain. If the keychain is unavailable, use the configured encrypted fallback passphrase.</w:t>
      </w:r>
    </w:p>
    <w:p>
      <w:pPr>
        <w:pStyle w:val="Compact"/>
        <w:numPr>
          <w:ilvl w:val="0"/>
          <w:numId w:val="1004"/>
        </w:numPr>
      </w:pPr>
      <w:r>
        <w:t xml:space="preserve">Verify the sidecar checksum reported by the Control Panel. Stop on</w:t>
      </w:r>
      <w:r>
        <w:t xml:space="preserve"> </w:t>
      </w:r>
      <w:r>
        <w:rPr>
          <w:rStyle w:val="VerbatimChar"/>
        </w:rPr>
        <w:t xml:space="preserve">REMOTE_RUNTIME_CHECKSUM_FAILED</w:t>
      </w:r>
      <w:r>
        <w:t xml:space="preserve">, unsupported OS/architecture, invalid absolute home, or invalid response.</w:t>
      </w:r>
    </w:p>
    <w:p>
      <w:pPr>
        <w:pStyle w:val="Compact"/>
        <w:numPr>
          <w:ilvl w:val="0"/>
          <w:numId w:val="1004"/>
        </w:numPr>
      </w:pPr>
      <w:r>
        <w:t xml:space="preserve">Restrict SSH by firewall/security group to the operator management network. Restrict agent</w:t>
      </w:r>
      <w:r>
        <w:t xml:space="preserve"> </w:t>
      </w:r>
      <w:r>
        <w:rPr>
          <w:rStyle w:val="VerbatimChar"/>
        </w:rPr>
        <w:t xml:space="preserve">47990/tcp</w:t>
      </w:r>
      <w:r>
        <w:t xml:space="preserve"> </w:t>
      </w:r>
      <w:r>
        <w:t xml:space="preserve">to approved management networks or loopback.</w:t>
      </w:r>
    </w:p>
    <w:p>
      <w:pPr>
        <w:pStyle w:val="Compact"/>
        <w:numPr>
          <w:ilvl w:val="0"/>
          <w:numId w:val="1004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SYNERGY_TESTNET_AGENT_TOKEN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SYNERGY_INNERNET_COORDINATOR_PUBLIC_KEY</w:t>
      </w:r>
      <w:r>
        <w:t xml:space="preserve">, coordinator credentials, identity passphrases, and private keys out of tickets and shell history.</w:t>
      </w:r>
    </w:p>
    <w:p>
      <w:pPr>
        <w:pStyle w:val="Compact"/>
        <w:numPr>
          <w:ilvl w:val="0"/>
          <w:numId w:val="1004"/>
        </w:numPr>
      </w:pPr>
      <w:r>
        <w:t xml:space="preserve">Do not run the validator under two supervisors. Choose the Control Panel/sidecar path or an approved agent-managed installer path and keep one owner.</w:t>
      </w:r>
    </w:p>
    <w:bookmarkEnd w:id="15"/>
    <w:bookmarkStart w:id="16" w:name="headless-recovery"/>
    <w:p>
      <w:pPr>
        <w:pStyle w:val="Heading2"/>
      </w:pPr>
      <w:r>
        <w:t xml:space="preserve">Headless Recovery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Validator Detail &gt; Recovery</w:t>
      </w:r>
      <w:r>
        <w:t xml:space="preserve">,</w:t>
      </w:r>
      <w:r>
        <w:t xml:space="preserve"> </w:t>
      </w:r>
      <w:r>
        <w:rPr>
          <w:b/>
          <w:bCs/>
        </w:rPr>
        <w:t xml:space="preserve">State Sync</w:t>
      </w:r>
      <w:r>
        <w:t xml:space="preserve">,</w:t>
      </w:r>
      <w:r>
        <w:t xml:space="preserve"> </w:t>
      </w:r>
      <w:r>
        <w:rPr>
          <w:b/>
          <w:bCs/>
        </w:rPr>
        <w:t xml:space="preserve">Archive Manager</w:t>
      </w:r>
      <w:r>
        <w:t xml:space="preserve">, and</w:t>
      </w:r>
      <w:r>
        <w:t xml:space="preserve"> </w:t>
      </w:r>
      <w:r>
        <w:rPr>
          <w:b/>
          <w:bCs/>
        </w:rPr>
        <w:t xml:space="preserve">Incidents</w:t>
      </w:r>
      <w:r>
        <w:t xml:space="preserve"> </w:t>
      </w:r>
      <w:r>
        <w:t xml:space="preserve">from the desktop operator machine. The same requirements apply remotely: quorum proof, canonical archive/state source, backup, dry-run, replay completion, vote-only rejoin, proposer probation, and canonical activation evidence. A failed SSH connection, unavailable agent, stale telemetry, or incomplete propagation is a blocker; it is not permission to use raw SSH edits or claim the validator is onboarded.</w:t>
      </w:r>
    </w:p>
    <w:bookmarkEnd w:id="16"/>
    <w:bookmarkEnd w:id="17"/>
    <w:sectPr>
      <w:pgSz w:h="15840" w:orient="portrait" w:w="12240"/>
      <w:pgMar w:bottom="1440" w:footer="720" w:gutter="0" w:header="720" w:left="1800" w:right="180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1"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"/>
      <w:lvlJc w:val="left"/>
      <w:pPr>
        <w:tabs>
          <w:tab w:pos="1440" w:val="num"/>
        </w:tabs>
        <w:ind w:hanging="360" w:left="1440"/>
      </w:pPr>
    </w:lvl>
    <w:lvl w:ilvl="2">
      <w:start w:val="1"/>
      <w:numFmt w:val="decimal"/>
      <w:lvlText w:val="%3"/>
      <w:lvlJc w:val="left"/>
      <w:pPr>
        <w:tabs>
          <w:tab w:pos="2160" w:val="num"/>
        </w:tabs>
        <w:ind w:hanging="360" w:left="2160"/>
      </w:pPr>
    </w:lvl>
    <w:lvl w:ilvl="3">
      <w:start w:val="1"/>
      <w:numFmt w:val="decimal"/>
      <w:lvlText w:val="%4"/>
      <w:lvlJc w:val="left"/>
      <w:pPr>
        <w:tabs>
          <w:tab w:pos="2880" w:val="num"/>
        </w:tabs>
        <w:ind w:hanging="360" w:left="2880"/>
      </w:pPr>
    </w:lvl>
    <w:lvl w:ilvl="4">
      <w:start w:val="1"/>
      <w:numFmt w:val="decimal"/>
      <w:lvlText w:val="%5"/>
      <w:lvlJc w:val="left"/>
      <w:pPr>
        <w:tabs>
          <w:tab w:pos="3600" w:val="num"/>
        </w:tabs>
        <w:ind w:hanging="360" w:left="3600"/>
      </w:pPr>
    </w:lvl>
    <w:lvl w:ilvl="5">
      <w:start w:val="1"/>
      <w:numFmt w:val="decimal"/>
      <w:lvlText w:val="%6"/>
      <w:lvlJc w:val="left"/>
      <w:pPr>
        <w:tabs>
          <w:tab w:pos="4320" w:val="num"/>
        </w:tabs>
        <w:ind w:hanging="360" w:left="4320"/>
      </w:pPr>
    </w:lvl>
    <w:lvl w:ilvl="6">
      <w:start w:val="1"/>
      <w:numFmt w:val="decimal"/>
      <w:lvlText w:val="%7"/>
      <w:lvlJc w:val="left"/>
      <w:pPr>
        <w:tabs>
          <w:tab w:pos="5040" w:val="num"/>
        </w:tabs>
        <w:ind w:hanging="360" w:left="5040"/>
      </w:pPr>
    </w:lvl>
    <w:lvl w:ilvl="7">
      <w:start w:val="1"/>
      <w:numFmt w:val="decimal"/>
      <w:lvlText w:val="%8"/>
      <w:lvlJc w:val="left"/>
      <w:pPr>
        <w:tabs>
          <w:tab w:pos="5760" w:val="num"/>
        </w:tabs>
        <w:ind w:hanging="360" w:left="576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"/>
      <w:lvlJc w:val="left"/>
      <w:pPr>
        <w:tabs>
          <w:tab w:pos="1440" w:val="num"/>
        </w:tabs>
        <w:ind w:hanging="360" w:left="1440"/>
      </w:pPr>
    </w:lvl>
    <w:lvl w:ilvl="2">
      <w:start w:val="1"/>
      <w:numFmt w:val="decimal"/>
      <w:lvlText w:val="%3"/>
      <w:lvlJc w:val="left"/>
      <w:pPr>
        <w:tabs>
          <w:tab w:pos="2160" w:val="num"/>
        </w:tabs>
        <w:ind w:hanging="360" w:left="2160"/>
      </w:pPr>
    </w:lvl>
    <w:lvl w:ilvl="3">
      <w:start w:val="1"/>
      <w:numFmt w:val="decimal"/>
      <w:lvlText w:val="%4"/>
      <w:lvlJc w:val="left"/>
      <w:pPr>
        <w:tabs>
          <w:tab w:pos="2880" w:val="num"/>
        </w:tabs>
        <w:ind w:hanging="360" w:left="2880"/>
      </w:pPr>
    </w:lvl>
    <w:lvl w:ilvl="4">
      <w:start w:val="1"/>
      <w:numFmt w:val="decimal"/>
      <w:lvlText w:val="%5"/>
      <w:lvlJc w:val="left"/>
      <w:pPr>
        <w:tabs>
          <w:tab w:pos="3600" w:val="num"/>
        </w:tabs>
        <w:ind w:hanging="360" w:left="3600"/>
      </w:pPr>
    </w:lvl>
    <w:lvl w:ilvl="5">
      <w:start w:val="1"/>
      <w:numFmt w:val="decimal"/>
      <w:lvlText w:val="%6"/>
      <w:lvlJc w:val="left"/>
      <w:pPr>
        <w:tabs>
          <w:tab w:pos="4320" w:val="num"/>
        </w:tabs>
        <w:ind w:hanging="360" w:left="4320"/>
      </w:pPr>
    </w:lvl>
    <w:lvl w:ilvl="6">
      <w:start w:val="1"/>
      <w:numFmt w:val="decimal"/>
      <w:lvlText w:val="%7"/>
      <w:lvlJc w:val="left"/>
      <w:pPr>
        <w:tabs>
          <w:tab w:pos="5040" w:val="num"/>
        </w:tabs>
        <w:ind w:hanging="360" w:left="5040"/>
      </w:pPr>
    </w:lvl>
    <w:lvl w:ilvl="7">
      <w:start w:val="1"/>
      <w:numFmt w:val="decimal"/>
      <w:lvlText w:val="%8"/>
      <w:lvlJc w:val="left"/>
      <w:pPr>
        <w:tabs>
          <w:tab w:pos="5760" w:val="num"/>
        </w:tabs>
        <w:ind w:hanging="360" w:left="5760"/>
      </w:pPr>
    </w:lvl>
  </w:abstractNum>
  <w:abstractNum w:abstractNumId="4"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120" w:line="240" w:lineRule="atLeast"/>
      </w:pPr>
    </w:pPrDefault>
  </w:docDefaults>
  <w:style w:styleId="Hyperlink" w:type="character">
    <w:name w:val="Hyperlink"/>
    <w:rPr>
      <w:color w:val="0000FF"/>
      <w:u w:val="single"/>
    </w:rPr>
  </w:style>
  <w:style w:styleId="Heading1" w:type="paragraph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styleId="Heading2" w:type="paragraph">
    <w:name w:val="heading 2"/>
    <w:basedOn w:val="Normal"/>
    <w:next w:val="Normal"/>
    <w:uiPriority w:val="9"/>
    <w:unhideWhenUsed/>
    <w:qFormat/>
    <w:pPr>
      <w:keepNext/>
      <w:keepLines/>
      <w:spacing w:after="80" w:before="360"/>
      <w:outlineLvl w:val="1"/>
    </w:pPr>
    <w:rPr>
      <w:b/>
      <w:sz w:val="36"/>
      <w:szCs w:val="36"/>
    </w:rPr>
  </w:style>
  <w:style w:styleId="Heading3" w:type="paragraph">
    <w:name w:val="heading 3"/>
    <w:basedOn w:val="Normal"/>
    <w:next w:val="Normal"/>
    <w:uiPriority w:val="9"/>
    <w:semiHidden/>
    <w:unhideWhenUsed/>
    <w:qFormat/>
    <w:pPr>
      <w:keepNext/>
      <w:keepLines/>
      <w:spacing w:after="80" w:before="280"/>
      <w:outlineLvl w:val="2"/>
    </w:pPr>
    <w:rPr>
      <w:b/>
      <w:sz w:val="28"/>
      <w:szCs w:val="28"/>
    </w:rPr>
  </w:style>
  <w:style w:styleId="Heading4" w:type="paragraph">
    <w:name w:val="heading 4"/>
    <w:basedOn w:val="Normal"/>
    <w:next w:val="Normal"/>
    <w:uiPriority w:val="9"/>
    <w:semiHidden/>
    <w:unhideWhenUsed/>
    <w:qFormat/>
    <w:pPr>
      <w:keepNext/>
      <w:keepLines/>
      <w:spacing w:after="40" w:before="240"/>
      <w:outlineLvl w:val="3"/>
    </w:pPr>
    <w:rPr>
      <w:b/>
      <w:sz w:val="24"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40" w:before="220"/>
      <w:outlineLvl w:val="4"/>
    </w:pPr>
    <w:rPr>
      <w:b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40" w:before="200"/>
      <w:outlineLvl w:val="5"/>
    </w:pPr>
    <w:rPr>
      <w:b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validator-lifecycl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validator-lifecycl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2026-07-14T02:18:08Z</dcterms:created>
  <dcterms:modified xsi:type="dcterms:W3CDTF">2026-07-14T02:18:08Z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