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acos-operator-guide"/>
    <w:p>
      <w:pPr>
        <w:pStyle w:val="Heading1"/>
      </w:pPr>
      <w:r>
        <w:t xml:space="preserve">macOS Operator Guide</w:t>
      </w:r>
    </w:p>
    <w:p>
      <w:pPr>
        <w:pStyle w:val="FirstParagraph"/>
      </w:pPr>
      <w:r>
        <w:t xml:space="preserve">This guide covers installing and updating the Synergy Node Control Panel on macOS. Complete the</w:t>
      </w:r>
      <w:r>
        <w:t xml:space="preserve"> </w:t>
      </w:r>
      <w:hyperlink r:id="rId9">
        <w:r>
          <w:rPr>
            <w:rStyle w:val="Hyperlink"/>
          </w:rPr>
          <w:t xml:space="preserve">shared validator lifecycle</w:t>
        </w:r>
      </w:hyperlink>
      <w:r>
        <w:t xml:space="preserve"> </w:t>
      </w:r>
      <w:r>
        <w:t xml:space="preserve">after installation.</w:t>
      </w:r>
    </w:p>
    <w:bookmarkStart w:id="10" w:name="requirements"/>
    <w:p>
      <w:pPr>
        <w:pStyle w:val="Heading2"/>
      </w:pPr>
      <w:r>
        <w:t xml:space="preserve">Requirements</w:t>
      </w:r>
    </w:p>
    <w:p>
      <w:pPr>
        <w:pStyle w:val="Compact"/>
        <w:numPr>
          <w:ilvl w:val="0"/>
          <w:numId w:val="1001"/>
        </w:numPr>
      </w:pPr>
      <w:r>
        <w:t xml:space="preserve">macOS 12 Monterey or newer; macOS 14 or newer is recommended.</w:t>
      </w:r>
    </w:p>
    <w:p>
      <w:pPr>
        <w:pStyle w:val="Compact"/>
        <w:numPr>
          <w:ilvl w:val="0"/>
          <w:numId w:val="1001"/>
        </w:numPr>
      </w:pPr>
      <w:r>
        <w:t xml:space="preserve">Apple Silicon or Intel hardware matching the published DMG architecture.</w:t>
      </w:r>
    </w:p>
    <w:p>
      <w:pPr>
        <w:pStyle w:val="Compact"/>
        <w:numPr>
          <w:ilvl w:val="0"/>
          <w:numId w:val="1001"/>
        </w:numPr>
      </w:pPr>
      <w:r>
        <w:t xml:space="preserve">At least 4 GB RAM and 500 MB free for the application; a validator needs additional SSD space for chain state, logs, evidence, and backups.</w:t>
      </w:r>
    </w:p>
    <w:p>
      <w:pPr>
        <w:pStyle w:val="Compact"/>
        <w:numPr>
          <w:ilvl w:val="0"/>
          <w:numId w:val="1001"/>
        </w:numPr>
      </w:pPr>
      <w:r>
        <w:t xml:space="preserve">Stable internet, automatic time synchronization, and administrator approval for installation and network prompts.</w:t>
      </w:r>
    </w:p>
    <w:p>
      <w:pPr>
        <w:pStyle w:val="Compact"/>
        <w:numPr>
          <w:ilvl w:val="0"/>
          <w:numId w:val="1001"/>
        </w:numPr>
      </w:pPr>
      <w:r>
        <w:t xml:space="preserve">For a validator, a coordinator-issued one-time onboarding token. Validator P2P runs over the private Synergy validator network; do not expose</w:t>
      </w:r>
      <w:r>
        <w:t xml:space="preserve"> </w:t>
      </w:r>
      <w:r>
        <w:rPr>
          <w:rStyle w:val="VerbatimChar"/>
        </w:rPr>
        <w:t xml:space="preserve">5622/tcp</w:t>
      </w:r>
      <w:r>
        <w:t xml:space="preserve"> </w:t>
      </w:r>
      <w:r>
        <w:t xml:space="preserve">publicly.</w:t>
      </w:r>
    </w:p>
    <w:p>
      <w:pPr>
        <w:pStyle w:val="FirstParagraph"/>
      </w:pPr>
      <w:r>
        <w:t xml:space="preserve">The Control Panel reports the actual operating system, architecture, CPU cores, memory, disk, command access, port, internet, and write-permission results in</w:t>
      </w:r>
      <w:r>
        <w:t xml:space="preserve"> </w:t>
      </w:r>
      <w:r>
        <w:rPr>
          <w:b/>
          <w:bCs/>
        </w:rPr>
        <w:t xml:space="preserve">Run Device Check</w:t>
      </w:r>
      <w:r>
        <w:t xml:space="preserve">. Resolve failed rows before continuing.</w:t>
      </w:r>
    </w:p>
    <w:bookmarkEnd w:id="10"/>
    <w:bookmarkStart w:id="12" w:name="install"/>
    <w:p>
      <w:pPr>
        <w:pStyle w:val="Heading2"/>
      </w:pPr>
      <w:r>
        <w:t xml:space="preserve">Install</w:t>
      </w:r>
    </w:p>
    <w:p>
      <w:pPr>
        <w:pStyle w:val="Compact"/>
        <w:numPr>
          <w:ilvl w:val="0"/>
          <w:numId w:val="1002"/>
        </w:numPr>
      </w:pPr>
      <w:r>
        <w:t xml:space="preserve">Open the official</w:t>
      </w:r>
      <w:r>
        <w:t xml:space="preserve"> </w:t>
      </w:r>
      <w:hyperlink r:id="rId11">
        <w:r>
          <w:rPr>
            <w:rStyle w:val="Hyperlink"/>
          </w:rPr>
          <w:t xml:space="preserve">Node Control Panel releases</w:t>
        </w:r>
      </w:hyperlink>
      <w:r>
        <w:t xml:space="preserve"> </w:t>
      </w:r>
      <w:r>
        <w:t xml:space="preserve">page.</w:t>
      </w:r>
    </w:p>
    <w:p>
      <w:pPr>
        <w:pStyle w:val="Compact"/>
        <w:numPr>
          <w:ilvl w:val="0"/>
          <w:numId w:val="1002"/>
        </w:numPr>
      </w:pPr>
      <w:r>
        <w:t xml:space="preserve">Download the latest</w:t>
      </w:r>
      <w:r>
        <w:t xml:space="preserve"> </w:t>
      </w:r>
      <w:r>
        <w:rPr>
          <w:rStyle w:val="VerbatimChar"/>
        </w:rPr>
        <w:t xml:space="preserve">Synergy.Node.Control.Panel-&lt;version&gt;-&lt;arch&gt;.dmg</w:t>
      </w:r>
      <w:r>
        <w:t xml:space="preserve"> </w:t>
      </w:r>
      <w:r>
        <w:t xml:space="preserve">for the Mac architecture.</w:t>
      </w:r>
    </w:p>
    <w:p>
      <w:pPr>
        <w:pStyle w:val="Compact"/>
        <w:numPr>
          <w:ilvl w:val="0"/>
          <w:numId w:val="1002"/>
        </w:numPr>
      </w:pPr>
      <w:r>
        <w:t xml:space="preserve">Open the DMG and drag</w:t>
      </w:r>
      <w:r>
        <w:t xml:space="preserve"> </w:t>
      </w:r>
      <w:r>
        <w:rPr>
          <w:b/>
          <w:bCs/>
        </w:rPr>
        <w:t xml:space="preserve">Synergy Node Control Panel</w:t>
      </w:r>
      <w:r>
        <w:t xml:space="preserve"> </w:t>
      </w:r>
      <w:r>
        <w:t xml:space="preserve">to</w:t>
      </w:r>
      <w:r>
        <w:t xml:space="preserve"> </w:t>
      </w:r>
      <w:r>
        <w:rPr>
          <w:b/>
          <w:bCs/>
        </w:rPr>
        <w:t xml:space="preserve">Applications</w:t>
      </w:r>
      <w:r>
        <w:t xml:space="preserve">.</w:t>
      </w:r>
    </w:p>
    <w:p>
      <w:pPr>
        <w:pStyle w:val="Compact"/>
        <w:numPr>
          <w:ilvl w:val="0"/>
          <w:numId w:val="1002"/>
        </w:numPr>
      </w:pPr>
      <w:r>
        <w:t xml:space="preserve">Launch it from</w:t>
      </w:r>
      <w:r>
        <w:t xml:space="preserve"> </w:t>
      </w:r>
      <w:r>
        <w:rPr>
          <w:b/>
          <w:bCs/>
        </w:rPr>
        <w:t xml:space="preserve">Applications</w:t>
      </w:r>
      <w:r>
        <w:t xml:space="preserve">. If Gatekeeper asks, choose</w:t>
      </w:r>
      <w:r>
        <w:t xml:space="preserve"> </w:t>
      </w:r>
      <w:r>
        <w:rPr>
          <w:b/>
          <w:bCs/>
        </w:rPr>
        <w:t xml:space="preserve">Open</w:t>
      </w:r>
      <w:r>
        <w:t xml:space="preserve"> </w:t>
      </w:r>
      <w:r>
        <w:t xml:space="preserve">only when the DMG came from the official releases page.</w:t>
      </w:r>
    </w:p>
    <w:p>
      <w:pPr>
        <w:pStyle w:val="Compact"/>
        <w:numPr>
          <w:ilvl w:val="0"/>
          <w:numId w:val="1002"/>
        </w:numPr>
      </w:pPr>
      <w:r>
        <w:t xml:space="preserve">Allow the Control Panel to manage the secure-network connection when macOS asks. Keep validator P2P, RPC, and metrics private; public service traffic reaches validators through the relayer tier.</w:t>
      </w:r>
    </w:p>
    <w:p>
      <w:pPr>
        <w:pStyle w:val="Compact"/>
        <w:numPr>
          <w:ilvl w:val="0"/>
          <w:numId w:val="1002"/>
        </w:numPr>
      </w:pPr>
      <w:r>
        <w:t xml:space="preserve">Open</w:t>
      </w:r>
      <w:r>
        <w:t xml:space="preserve"> </w:t>
      </w:r>
      <w:r>
        <w:rPr>
          <w:b/>
          <w:bCs/>
        </w:rPr>
        <w:t xml:space="preserve">Settings</w:t>
      </w:r>
      <w:r>
        <w:t xml:space="preserve"> </w:t>
      </w:r>
      <w:r>
        <w:t xml:space="preserve">and confirm the installed version.</w:t>
      </w:r>
    </w:p>
    <w:p>
      <w:pPr>
        <w:pStyle w:val="FirstParagraph"/>
      </w:pPr>
      <w:r>
        <w:t xml:space="preserve">Normal installer use does not require Node.js, Rust, Git, Xcode, Homebrew, or a separate WireGuard installation. Official installers bundle the signed Innernet and WireGuard userspace tools used by secure-network onboarding. Do not remove quarantine flags from an unknown build.</w:t>
      </w:r>
    </w:p>
    <w:bookmarkEnd w:id="12"/>
    <w:bookmarkStart w:id="13" w:name="update"/>
    <w:p>
      <w:pPr>
        <w:pStyle w:val="Heading2"/>
      </w:pPr>
      <w:r>
        <w:t xml:space="preserve">Update</w:t>
      </w:r>
    </w:p>
    <w:p>
      <w:pPr>
        <w:pStyle w:val="Compact"/>
        <w:numPr>
          <w:ilvl w:val="0"/>
          <w:numId w:val="1003"/>
        </w:numPr>
      </w:pPr>
      <w:r>
        <w:t xml:space="preserve">Use</w:t>
      </w:r>
      <w:r>
        <w:t xml:space="preserve"> </w:t>
      </w:r>
      <w:r>
        <w:rPr>
          <w:b/>
          <w:bCs/>
        </w:rPr>
        <w:t xml:space="preserve">Settings &gt; Updates &gt; Check Now</w:t>
      </w:r>
      <w:r>
        <w:t xml:space="preserve"> </w:t>
      </w:r>
      <w:r>
        <w:t xml:space="preserve">or the top-right</w:t>
      </w:r>
      <w:r>
        <w:t xml:space="preserve"> </w:t>
      </w:r>
      <w:r>
        <w:rPr>
          <w:b/>
          <w:bCs/>
        </w:rPr>
        <w:t xml:space="preserve">Check updates</w:t>
      </w:r>
      <w:r>
        <w:t xml:space="preserve"> </w:t>
      </w:r>
      <w:r>
        <w:t xml:space="preserve">action.</w:t>
      </w:r>
    </w:p>
    <w:p>
      <w:pPr>
        <w:pStyle w:val="Compact"/>
        <w:numPr>
          <w:ilvl w:val="0"/>
          <w:numId w:val="1003"/>
        </w:numPr>
      </w:pPr>
      <w:r>
        <w:t xml:space="preserve">When a signed update is available, choose</w:t>
      </w:r>
      <w:r>
        <w:t xml:space="preserve"> </w:t>
      </w:r>
      <w:r>
        <w:rPr>
          <w:b/>
          <w:bCs/>
        </w:rPr>
        <w:t xml:space="preserve">Install Update</w:t>
      </w:r>
      <w:r>
        <w:t xml:space="preserve">. The app downloads it and restarts when ready.</w:t>
      </w:r>
    </w:p>
    <w:p>
      <w:pPr>
        <w:pStyle w:val="Compact"/>
        <w:numPr>
          <w:ilvl w:val="0"/>
          <w:numId w:val="1003"/>
        </w:numPr>
      </w:pPr>
      <w:r>
        <w:t xml:space="preserve">If native update reports that a disk image cannot update, move the app to</w:t>
      </w:r>
      <w:r>
        <w:t xml:space="preserve"> </w:t>
      </w:r>
      <w:r>
        <w:rPr>
          <w:b/>
          <w:bCs/>
        </w:rPr>
        <w:t xml:space="preserve">Applications</w:t>
      </w:r>
      <w:r>
        <w:t xml:space="preserve">, launch it there, and try again.</w:t>
      </w:r>
    </w:p>
    <w:p>
      <w:pPr>
        <w:pStyle w:val="Compact"/>
        <w:numPr>
          <w:ilvl w:val="0"/>
          <w:numId w:val="1003"/>
        </w:numPr>
      </w:pPr>
      <w:r>
        <w:t xml:space="preserve">If no macOS update metadata is published, download the latest DMG from the official releases page and replace the app in</w:t>
      </w:r>
      <w:r>
        <w:t xml:space="preserve"> </w:t>
      </w:r>
      <w:r>
        <w:rPr>
          <w:b/>
          <w:bCs/>
        </w:rPr>
        <w:t xml:space="preserve">Applications</w:t>
      </w:r>
      <w:r>
        <w:t xml:space="preserve">.</w:t>
      </w:r>
    </w:p>
    <w:p>
      <w:pPr>
        <w:pStyle w:val="FirstParagraph"/>
      </w:pPr>
      <w:r>
        <w:t xml:space="preserve">Do not delete the validator workspace while replacing the application. The workspace, identity, evidence, and snapshot cache are operator state.</w:t>
      </w:r>
    </w:p>
    <w:bookmarkEnd w:id="13"/>
    <w:bookmarkStart w:id="14" w:name="wallet-connection-persistence"/>
    <w:p>
      <w:pPr>
        <w:pStyle w:val="Heading2"/>
      </w:pPr>
      <w:r>
        <w:t xml:space="preserve">Wallet Connection Persistence</w:t>
      </w:r>
    </w:p>
    <w:p>
      <w:pPr>
        <w:pStyle w:val="FirstParagraph"/>
      </w:pPr>
      <w:r>
        <w:t xml:space="preserve">The Control Panel uses</w:t>
      </w:r>
      <w:r>
        <w:t xml:space="preserve"> </w:t>
      </w:r>
      <w:r>
        <w:rPr>
          <w:b/>
          <w:bCs/>
        </w:rPr>
        <w:t xml:space="preserve">Synergy Wallet</w:t>
      </w:r>
      <w:r>
        <w:t xml:space="preserve"> </w:t>
      </w:r>
      <w:r>
        <w:t xml:space="preserve">mobile pairing for validator setup. Click</w:t>
      </w:r>
      <w:r>
        <w:t xml:space="preserve"> </w:t>
      </w:r>
      <w:r>
        <w:rPr>
          <w:b/>
          <w:bCs/>
        </w:rPr>
        <w:t xml:space="preserve">Connect Synergy Wallet</w:t>
      </w:r>
      <w:r>
        <w:t xml:space="preserve">, scan the QR code with Synergy Wallet mobile, and approve the connection. The approved session is kept in browser</w:t>
      </w:r>
      <w:r>
        <w:t xml:space="preserve"> </w:t>
      </w:r>
      <w:r>
        <w:rPr>
          <w:rStyle w:val="VerbatimChar"/>
        </w:rPr>
        <w:t xml:space="preserve">sessionStorage</w:t>
      </w:r>
      <w:r>
        <w:t xml:space="preserve"> </w:t>
      </w:r>
      <w:r>
        <w:t xml:space="preserve">for the current Control Panel session and is restored only while its session has not expired.</w:t>
      </w:r>
    </w:p>
    <w:p>
      <w:pPr>
        <w:pStyle w:val="Compact"/>
        <w:numPr>
          <w:ilvl w:val="0"/>
          <w:numId w:val="1004"/>
        </w:numPr>
      </w:pPr>
      <w:r>
        <w:t xml:space="preserve">The stored session contains connection metadata and wallet address, not a private key.</w:t>
      </w:r>
    </w:p>
    <w:p>
      <w:pPr>
        <w:pStyle w:val="Compact"/>
        <w:numPr>
          <w:ilvl w:val="0"/>
          <w:numId w:val="1004"/>
        </w:numPr>
      </w:pPr>
      <w:r>
        <w:rPr>
          <w:b/>
          <w:bCs/>
        </w:rPr>
        <w:t xml:space="preserve">Disconnect</w:t>
      </w:r>
      <w:r>
        <w:t xml:space="preserve"> </w:t>
      </w:r>
      <w:r>
        <w:t xml:space="preserve">clears the stored session.</w:t>
      </w:r>
    </w:p>
    <w:p>
      <w:pPr>
        <w:pStyle w:val="Compact"/>
        <w:numPr>
          <w:ilvl w:val="0"/>
          <w:numId w:val="1004"/>
        </w:numPr>
      </w:pPr>
      <w:r>
        <w:t xml:space="preserve">If the session expired or pairing is unavailable, generate a new QR code. Browser injected Synergy Wallet support is not the supported validator setup path.</w:t>
      </w:r>
    </w:p>
    <w:p>
      <w:pPr>
        <w:pStyle w:val="Compact"/>
        <w:numPr>
          <w:ilvl w:val="0"/>
          <w:numId w:val="1004"/>
        </w:numPr>
      </w:pPr>
      <w:r>
        <w:t xml:space="preserve">Wallet continuity never overrides on-chain eligibility. Refresh</w:t>
      </w:r>
      <w:r>
        <w:t xml:space="preserve"> </w:t>
      </w:r>
      <w:r>
        <w:rPr>
          <w:b/>
          <w:bCs/>
        </w:rPr>
        <w:t xml:space="preserve">Eligibility</w:t>
      </w:r>
      <w:r>
        <w:t xml:space="preserve"> </w:t>
      </w:r>
      <w:r>
        <w:t xml:space="preserve">and</w:t>
      </w:r>
      <w:r>
        <w:t xml:space="preserve"> </w:t>
      </w:r>
      <w:r>
        <w:rPr>
          <w:b/>
          <w:bCs/>
        </w:rPr>
        <w:t xml:space="preserve">Verify Bond</w:t>
      </w:r>
      <w:r>
        <w:t xml:space="preserve"> </w:t>
      </w:r>
      <w:r>
        <w:t xml:space="preserve">after a reconnect.</w:t>
      </w:r>
    </w:p>
    <w:bookmarkEnd w:id="14"/>
    <w:bookmarkStart w:id="15" w:name="continue"/>
    <w:p>
      <w:pPr>
        <w:pStyle w:val="Heading2"/>
      </w:pPr>
      <w:r>
        <w:t xml:space="preserve">Continue</w:t>
      </w:r>
    </w:p>
    <w:p>
      <w:pPr>
        <w:pStyle w:val="FirstParagraph"/>
      </w:pPr>
      <w:r>
        <w:t xml:space="preserve">Use the exact steps and safety gates in</w:t>
      </w:r>
      <w:r>
        <w:t xml:space="preserve"> </w:t>
      </w:r>
      <w:hyperlink r:id="rId9">
        <w:r>
          <w:rPr>
            <w:rStyle w:val="Hyperlink"/>
          </w:rPr>
          <w:t xml:space="preserve">Validator lifecycle</w:t>
        </w:r>
      </w:hyperlink>
      <w:r>
        <w:t xml:space="preserve">. For a local Mac validator, choose</w:t>
      </w:r>
      <w:r>
        <w:t xml:space="preserve"> </w:t>
      </w:r>
      <w:r>
        <w:rPr>
          <w:b/>
          <w:bCs/>
        </w:rPr>
        <w:t xml:space="preserve">This computer</w:t>
      </w:r>
      <w:r>
        <w:t xml:space="preserve"> </w:t>
      </w:r>
      <w:r>
        <w:t xml:space="preserve">in the identity screen and keep the generated workspace on a durable local disk.</w:t>
      </w:r>
    </w:p>
    <w:p>
      <w:pPr>
        <w:pStyle w:val="BodyText"/>
      </w:pPr>
      <w:r>
        <w:t xml:space="preserve">The</w:t>
      </w:r>
      <w:r>
        <w:t xml:space="preserve"> </w:t>
      </w:r>
      <w:r>
        <w:rPr>
          <w:b/>
          <w:bCs/>
        </w:rPr>
        <w:t xml:space="preserve">Operations</w:t>
      </w:r>
      <w:r>
        <w:t xml:space="preserve"> </w:t>
      </w:r>
      <w:r>
        <w:t xml:space="preserve">terminal opens a real shell on this Mac and may request the Mac administrator password for an approved administrative command. Hover briefly over an Operations action to read what it does before selecting it. See</w:t>
      </w:r>
      <w:r>
        <w:t xml:space="preserve"> </w:t>
      </w:r>
      <w:r>
        <w:rPr>
          <w:b/>
          <w:bCs/>
        </w:rPr>
        <w:t xml:space="preserve">Operations Screen</w:t>
      </w:r>
      <w:r>
        <w:t xml:space="preserve"> </w:t>
      </w:r>
      <w:r>
        <w:t xml:space="preserve">and</w:t>
      </w:r>
      <w:r>
        <w:t xml:space="preserve"> </w:t>
      </w:r>
      <w:r>
        <w:rPr>
          <w:b/>
          <w:bCs/>
        </w:rPr>
        <w:t xml:space="preserve">Integrated Host Terminal</w:t>
      </w:r>
      <w:r>
        <w:t xml:space="preserve"> </w:t>
      </w:r>
      <w:r>
        <w:t xml:space="preserve">in the shared lifecycle guide.</w:t>
      </w:r>
    </w:p>
    <w:bookmarkEnd w:id="15"/>
    <w:bookmarkStart w:id="16" w:name="macos-checks"/>
    <w:p>
      <w:pPr>
        <w:pStyle w:val="Heading2"/>
      </w:pPr>
      <w:r>
        <w:t xml:space="preserve">macOS Checks</w:t>
      </w:r>
    </w:p>
    <w:p>
      <w:pPr>
        <w:pStyle w:val="FirstParagraph"/>
      </w:pPr>
      <w:r>
        <w:t xml:space="preserve">Check the public RPC without exposing local RPC ports:</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https://testnet-core-rpc.synergy-network.io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--data</w:t>
      </w:r>
      <w:r>
        <w:rPr>
          <w:rStyle w:val="NormalTok"/>
        </w:rPr>
        <w:t xml:space="preserve"> </w:t>
      </w:r>
      <w:r>
        <w:rPr>
          <w:rStyle w:val="StringTok"/>
        </w:rPr>
        <w:t xml:space="preserve">'{"jsonrpc":"2.0","id":1,"method":"synergy_blockNumber","params":[]}'</w:t>
      </w:r>
    </w:p>
    <w:p>
      <w:pPr>
        <w:pStyle w:val="FirstParagraph"/>
      </w:pPr>
      <w:r>
        <w:t xml:space="preserve">For a local validator RPC, use the port shown by the generated configuration, normally</w:t>
      </w:r>
      <w:r>
        <w:t xml:space="preserve"> </w:t>
      </w:r>
      <w:r>
        <w:rPr>
          <w:rStyle w:val="VerbatimChar"/>
        </w:rPr>
        <w:t xml:space="preserve">5640</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http://127.0.0.1:5640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--data</w:t>
      </w:r>
      <w:r>
        <w:rPr>
          <w:rStyle w:val="NormalTok"/>
        </w:rPr>
        <w:t xml:space="preserve"> </w:t>
      </w:r>
      <w:r>
        <w:rPr>
          <w:rStyle w:val="StringTok"/>
        </w:rPr>
        <w:t xml:space="preserve">'{"jsonrpc":"2.0","id":1,"method":"synergy_blockNumber","params":[]}'</w:t>
      </w:r>
    </w:p>
    <w:p>
      <w:pPr>
        <w:pStyle w:val="FirstParagraph"/>
      </w:pPr>
      <w:r>
        <w:t xml:space="preserve">The local and public heights are evidence for sync only. They do not prove validator eligibility or activation.</w:t>
      </w:r>
    </w:p>
    <w:bookmarkEnd w:id="16"/>
    <w:bookmarkEnd w:id="17"/>
    <w:sectPr>
      <w:pgSz w:h="15840" w:orient="portrait" w:w="12240"/>
      <w:pgMar w:bottom="1440" w:footer="720" w:gutter="0" w:header="72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1">
    <w:lvl w:ilvl="0">
      <w:start w:val="1"/>
      <w:numFmt w:val="bullet"/>
      <w:lvlText w:val=""/>
      <w:lvlJc w:val="left"/>
      <w:pPr>
        <w:tabs>
          <w:tab w:pos="720" w:val="num"/>
        </w:tabs>
        <w:ind w:hanging="360" w:left="720"/>
      </w:pPr>
      <w:rPr>
        <w:rFonts w:ascii="Wingdings" w:hAnsi="Wingdings" w:hint="default"/>
      </w:rPr>
    </w:lvl>
    <w:lvl w:ilvl="1">
      <w:start w:val="1"/>
      <w:numFmt w:val="bullet"/>
      <w:lvlText w:val=""/>
      <w:lvlJc w:val="left"/>
      <w:pPr>
        <w:tabs>
          <w:tab w:pos="1440" w:val="num"/>
        </w:tabs>
        <w:ind w:hanging="360" w:left="1440"/>
      </w:pPr>
      <w:rPr>
        <w:rFonts w:ascii="Wingdings" w:hAnsi="Wingdings"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Wingdings" w:hAnsi="Wingdings" w:hint="default"/>
      </w:rPr>
    </w:lvl>
    <w:lvl w:ilvl="4">
      <w:start w:val="1"/>
      <w:numFmt w:val="bullet"/>
      <w:lvlText w:val=""/>
      <w:lvlJc w:val="left"/>
      <w:pPr>
        <w:tabs>
          <w:tab w:pos="3600" w:val="num"/>
        </w:tabs>
        <w:ind w:hanging="360" w:left="3600"/>
      </w:pPr>
      <w:rPr>
        <w:rFonts w:ascii="Wingdings" w:hAnsi="Wingdings"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Wingdings" w:hAnsi="Wingdings" w:hint="default"/>
      </w:rPr>
    </w:lvl>
    <w:lvl w:ilvl="7">
      <w:start w:val="1"/>
      <w:numFmt w:val="bullet"/>
      <w:lvlText w:val=""/>
      <w:lvlJc w:val="left"/>
      <w:pPr>
        <w:tabs>
          <w:tab w:pos="5760" w:val="num"/>
        </w:tabs>
        <w:ind w:hanging="360" w:left="5760"/>
      </w:pPr>
      <w:rPr>
        <w:rFonts w:ascii="Wingdings" w:hAnsi="Wingdings" w:hint="default"/>
      </w:rPr>
    </w:lvl>
  </w:abstractNum>
  <w:abstractNum w:abstractNumId="2">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abstractNum>
  <w:abstractNum w:abstractNumId="3">
    <w:lvl w:ilvl="0">
      <w:start w:val="1"/>
      <w:numFmt w:val="bullet"/>
      <w:lvlText w:val=""/>
      <w:lvlJc w:val="left"/>
      <w:pPr>
        <w:tabs>
          <w:tab w:pos="720" w:val="num"/>
        </w:tabs>
        <w:ind w:hanging="360" w:left="720"/>
      </w:pPr>
      <w:rPr>
        <w:rFonts w:ascii="Wingdings" w:hAnsi="Wingdings" w:hint="default"/>
      </w:rPr>
    </w:lvl>
    <w:lvl w:ilvl="1">
      <w:start w:val="1"/>
      <w:numFmt w:val="bullet"/>
      <w:lvlText w:val=""/>
      <w:lvlJc w:val="left"/>
      <w:pPr>
        <w:tabs>
          <w:tab w:pos="1440" w:val="num"/>
        </w:tabs>
        <w:ind w:hanging="360" w:left="1440"/>
      </w:pPr>
      <w:rPr>
        <w:rFonts w:ascii="Wingdings" w:hAnsi="Wingdings"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Wingdings" w:hAnsi="Wingdings" w:hint="default"/>
      </w:rPr>
    </w:lvl>
    <w:lvl w:ilvl="4">
      <w:start w:val="1"/>
      <w:numFmt w:val="bullet"/>
      <w:lvlText w:val=""/>
      <w:lvlJc w:val="left"/>
      <w:pPr>
        <w:tabs>
          <w:tab w:pos="3600" w:val="num"/>
        </w:tabs>
        <w:ind w:hanging="360" w:left="3600"/>
      </w:pPr>
      <w:rPr>
        <w:rFonts w:ascii="Wingdings" w:hAnsi="Wingdings"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Wingdings" w:hAnsi="Wingdings" w:hint="default"/>
      </w:rPr>
    </w:lvl>
    <w:lvl w:ilvl="7">
      <w:start w:val="1"/>
      <w:numFmt w:val="bullet"/>
      <w:lvlText w:val=""/>
      <w:lvlJc w:val="left"/>
      <w:pPr>
        <w:tabs>
          <w:tab w:pos="5760" w:val="num"/>
        </w:tabs>
        <w:ind w:hanging="360" w:left="5760"/>
      </w:pPr>
      <w:rPr>
        <w:rFonts w:ascii="Wingdings" w:hAnsi="Wingdings" w:hint="default"/>
      </w:rPr>
    </w:lvl>
  </w:abstractNum>
  <w:abstractNum w:abstractNumId="4">
    <w:lvl w:ilvl="0">
      <w:start w:val="1"/>
      <w:numFmt w:val="bullet"/>
      <w:lvlText w:val=""/>
      <w:lvlJc w:val="left"/>
      <w:pPr>
        <w:tabs>
          <w:tab w:pos="720" w:val="num"/>
        </w:tabs>
        <w:ind w:hanging="360" w:left="720"/>
      </w:pPr>
      <w:rPr>
        <w:rFonts w:ascii="Wingdings" w:hAnsi="Wingdings" w:hint="default"/>
      </w:rPr>
    </w:lvl>
    <w:lvl w:ilvl="1">
      <w:start w:val="1"/>
      <w:numFmt w:val="bullet"/>
      <w:lvlText w:val=""/>
      <w:lvlJc w:val="left"/>
      <w:pPr>
        <w:tabs>
          <w:tab w:pos="1440" w:val="num"/>
        </w:tabs>
        <w:ind w:hanging="360" w:left="1440"/>
      </w:pPr>
      <w:rPr>
        <w:rFonts w:ascii="Wingdings" w:hAnsi="Wingdings"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Wingdings" w:hAnsi="Wingdings" w:hint="default"/>
      </w:rPr>
    </w:lvl>
    <w:lvl w:ilvl="4">
      <w:start w:val="1"/>
      <w:numFmt w:val="bullet"/>
      <w:lvlText w:val=""/>
      <w:lvlJc w:val="left"/>
      <w:pPr>
        <w:tabs>
          <w:tab w:pos="3600" w:val="num"/>
        </w:tabs>
        <w:ind w:hanging="360" w:left="3600"/>
      </w:pPr>
      <w:rPr>
        <w:rFonts w:ascii="Wingdings" w:hAnsi="Wingdings"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Wingdings" w:hAnsi="Wingdings" w:hint="default"/>
      </w:rPr>
    </w:lvl>
    <w:lvl w:ilvl="7">
      <w:start w:val="1"/>
      <w:numFmt w:val="bullet"/>
      <w:lvlText w:val=""/>
      <w:lvlJc w:val="left"/>
      <w:pPr>
        <w:tabs>
          <w:tab w:pos="5760" w:val="num"/>
        </w:tabs>
        <w:ind w:hanging="360" w:left="57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HAnsi" w:hAnsiTheme="minorHAnsi"/>
        <w:sz w:val="24"/>
        <w:szCs w:val="24"/>
        <w:lang w:bidi="ar-SA" w:eastAsia="en-US" w:val="en-US"/>
      </w:rPr>
    </w:rPrDefault>
    <w:pPrDefault>
      <w:pPr>
        <w:spacing w:after="120" w:line="240" w:lineRule="atLeast"/>
      </w:pPr>
    </w:pPrDefault>
  </w:docDefaults>
  <w:style w:styleId="Hyperlink" w:type="character">
    <w:name w:val="Hyperlink"/>
    <w:rPr>
      <w:color w:val="0000FF"/>
      <w:u w:val="single"/>
    </w:rPr>
  </w:style>
  <w:style w:styleId="Heading1" w:type="paragraph">
    <w:name w:val="heading 1"/>
    <w:basedOn w:val="Normal"/>
    <w:next w:val="Normal"/>
    <w:uiPriority w:val="9"/>
    <w:qFormat/>
    <w:pPr>
      <w:keepNext/>
      <w:keepLines/>
      <w:spacing w:before="480"/>
      <w:outlineLvl w:val="0"/>
    </w:pPr>
    <w:rPr>
      <w:b/>
      <w:sz w:val="48"/>
      <w:szCs w:val="48"/>
    </w:rPr>
  </w:style>
  <w:style w:styleId="Heading2" w:type="paragraph">
    <w:name w:val="heading 2"/>
    <w:basedOn w:val="Normal"/>
    <w:next w:val="Normal"/>
    <w:uiPriority w:val="9"/>
    <w:unhideWhenUsed/>
    <w:qFormat/>
    <w:pPr>
      <w:keepNext/>
      <w:keepLines/>
      <w:spacing w:after="80" w:before="360"/>
      <w:outlineLvl w:val="1"/>
    </w:pPr>
    <w:rPr>
      <w:b/>
      <w:sz w:val="36"/>
      <w:szCs w:val="36"/>
    </w:rPr>
  </w:style>
  <w:style w:styleId="Heading3" w:type="paragraph">
    <w:name w:val="heading 3"/>
    <w:basedOn w:val="Normal"/>
    <w:next w:val="Normal"/>
    <w:uiPriority w:val="9"/>
    <w:semiHidden/>
    <w:unhideWhenUsed/>
    <w:qFormat/>
    <w:pPr>
      <w:keepNext/>
      <w:keepLines/>
      <w:spacing w:after="80" w:before="280"/>
      <w:outlineLvl w:val="2"/>
    </w:pPr>
    <w:rPr>
      <w:b/>
      <w:sz w:val="28"/>
      <w:szCs w:val="28"/>
    </w:rPr>
  </w:style>
  <w:style w:styleId="Heading4" w:type="paragraph">
    <w:name w:val="heading 4"/>
    <w:basedOn w:val="Normal"/>
    <w:next w:val="Normal"/>
    <w:uiPriority w:val="9"/>
    <w:semiHidden/>
    <w:unhideWhenUsed/>
    <w:qFormat/>
    <w:pPr>
      <w:keepNext/>
      <w:keepLines/>
      <w:spacing w:after="40" w:before="240"/>
      <w:outlineLvl w:val="3"/>
    </w:pPr>
    <w:rPr>
      <w:b/>
      <w:sz w:val="24"/>
      <w:szCs w:val="24"/>
    </w:rPr>
  </w:style>
  <w:style w:styleId="Heading5" w:type="paragraph">
    <w:name w:val="heading 5"/>
    <w:basedOn w:val="Normal"/>
    <w:next w:val="Normal"/>
    <w:uiPriority w:val="9"/>
    <w:semiHidden/>
    <w:unhideWhenUsed/>
    <w:qFormat/>
    <w:pPr>
      <w:keepNext/>
      <w:keepLines/>
      <w:spacing w:after="40" w:before="220"/>
      <w:outlineLvl w:val="4"/>
    </w:pPr>
    <w:rPr>
      <w:b/>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synergy-network-hq/synergy-node-control-panel-releases/releases" TargetMode="External" /><Relationship Type="http://schemas.openxmlformats.org/officeDocument/2006/relationships/hyperlink" Id="rId9" Target="validator-lifecycle.md"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synergy-network-hq/synergy-node-control-panel-releases/releases" TargetMode="External" /><Relationship Type="http://schemas.openxmlformats.org/officeDocument/2006/relationships/hyperlink" Id="rId9" Target="validator-lifecycl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2026-07-14T02:18:08Z</dcterms:created>
  <dcterms:modified xsi:type="dcterms:W3CDTF">2026-07-14T02:18:08Z</dcterms:modified>
</cp:coreProperties>
</file>

<file path=docProps/custom.xml><?xml version="1.0" encoding="utf-8"?>
<Properties xmlns="http://schemas.openxmlformats.org/officeDocument/2006/custom-properties" xmlns:vt="http://schemas.openxmlformats.org/officeDocument/2006/docPropsVTypes"/>
</file>