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alidator-lifecycle"/>
    <w:p>
      <w:pPr>
        <w:pStyle w:val="Heading1"/>
      </w:pPr>
      <w:r>
        <w:t xml:space="preserve">Validator Lifecycle</w:t>
      </w:r>
    </w:p>
    <w:p>
      <w:pPr>
        <w:pStyle w:val="FirstParagraph"/>
      </w:pPr>
      <w:r>
        <w:t xml:space="preserve">This is the shared runbook for a new Synergy Testnet validator on a local macOS/Ubuntu desktop or on a remote Linux target managed from the Control Panel.</w:t>
      </w:r>
    </w:p>
    <w:bookmarkStart w:id="9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1"/>
        </w:numPr>
      </w:pPr>
      <w:r>
        <w:t xml:space="preserve">Install a current official Control Panel release.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Run Device Check</w:t>
      </w:r>
      <w:r>
        <w:t xml:space="preserve">. The target must pass OS/architecture, CPU, memory, disk, runtime command, port, internet, and write-permission checks.</w:t>
      </w:r>
    </w:p>
    <w:p>
      <w:pPr>
        <w:pStyle w:val="Compact"/>
        <w:numPr>
          <w:ilvl w:val="0"/>
          <w:numId w:val="1001"/>
        </w:numPr>
      </w:pPr>
      <w:r>
        <w:t xml:space="preserve">Use a stable clock, durable SSD, and one owner for the workspace.</w:t>
      </w:r>
    </w:p>
    <w:p>
      <w:pPr>
        <w:pStyle w:val="Compact"/>
        <w:numPr>
          <w:ilvl w:val="0"/>
          <w:numId w:val="1001"/>
        </w:numPr>
      </w:pPr>
      <w:r>
        <w:t xml:space="preserve">Obtain a coordinator-issued one-time onboarding token. Validator P2P</w:t>
      </w:r>
      <w:r>
        <w:t xml:space="preserve"> </w:t>
      </w:r>
      <w:r>
        <w:rPr>
          <w:rStyle w:val="VerbatimChar"/>
        </w:rPr>
        <w:t xml:space="preserve">5622/tcp</w:t>
      </w:r>
      <w:r>
        <w:t xml:space="preserve">, RPC</w:t>
      </w:r>
      <w:r>
        <w:t xml:space="preserve"> </w:t>
      </w:r>
      <w:r>
        <w:rPr>
          <w:rStyle w:val="VerbatimChar"/>
        </w:rPr>
        <w:t xml:space="preserve">5640</w:t>
      </w:r>
      <w:r>
        <w:t xml:space="preserve">, WebSocket</w:t>
      </w:r>
      <w:r>
        <w:t xml:space="preserve"> </w:t>
      </w:r>
      <w:r>
        <w:rPr>
          <w:rStyle w:val="VerbatimChar"/>
        </w:rPr>
        <w:t xml:space="preserve">5660</w:t>
      </w:r>
      <w:r>
        <w:t xml:space="preserve">, discovery</w:t>
      </w:r>
      <w:r>
        <w:t xml:space="preserve"> </w:t>
      </w:r>
      <w:r>
        <w:rPr>
          <w:rStyle w:val="VerbatimChar"/>
        </w:rPr>
        <w:t xml:space="preserve">5680</w:t>
      </w:r>
      <w:r>
        <w:t xml:space="preserve">, metrics</w:t>
      </w:r>
      <w:r>
        <w:t xml:space="preserve"> </w:t>
      </w:r>
      <w:r>
        <w:rPr>
          <w:rStyle w:val="VerbatimChar"/>
        </w:rPr>
        <w:t xml:space="preserve">6030</w:t>
      </w:r>
      <w:r>
        <w:t xml:space="preserve">, and local control-service ports remain private. Public service nodes communicate with validators through the relayer tier.</w:t>
      </w:r>
    </w:p>
    <w:p>
      <w:pPr>
        <w:pStyle w:val="Compact"/>
        <w:numPr>
          <w:ilvl w:val="0"/>
          <w:numId w:val="1001"/>
        </w:numPr>
      </w:pPr>
      <w:r>
        <w:t xml:space="preserve">Have an operator</w:t>
      </w:r>
      <w:r>
        <w:t xml:space="preserve"> </w:t>
      </w:r>
      <w:r>
        <w:rPr>
          <w:b/>
          <w:bCs/>
        </w:rPr>
        <w:t xml:space="preserve">Synergy Wallet</w:t>
      </w:r>
      <w:r>
        <w:t xml:space="preserve"> </w:t>
      </w:r>
      <w:r>
        <w:t xml:space="preserve">and access to the required</w:t>
      </w:r>
      <w:r>
        <w:t xml:space="preserve"> </w:t>
      </w:r>
      <w:r>
        <w:rPr>
          <w:rStyle w:val="VerbatimChar"/>
        </w:rPr>
        <w:t xml:space="preserve">50,000 SNRG</w:t>
      </w:r>
      <w:r>
        <w:t xml:space="preserve"> </w:t>
      </w:r>
      <w:r>
        <w:t xml:space="preserve">funding.</w:t>
      </w:r>
    </w:p>
    <w:bookmarkEnd w:id="9"/>
    <w:bookmarkStart w:id="11" w:name="X5c96602dbeea4be19c4d0cb0c30d92e991f1742"/>
    <w:p>
      <w:pPr>
        <w:pStyle w:val="Heading2"/>
      </w:pPr>
      <w:r>
        <w:t xml:space="preserve">1. Create A New Validator</w:t>
      </w:r>
    </w:p>
    <w:p>
      <w:pPr>
        <w:pStyle w:val="Compact"/>
        <w:numPr>
          <w:ilvl w:val="0"/>
          <w:numId w:val="1002"/>
        </w:numPr>
      </w:pPr>
      <w:r>
        <w:t xml:space="preserve">Open the setup flow and select</w:t>
      </w:r>
      <w:r>
        <w:t xml:space="preserve"> </w:t>
      </w:r>
      <w:r>
        <w:rPr>
          <w:b/>
          <w:bCs/>
        </w:rPr>
        <w:t xml:space="preserve">Validator</w:t>
      </w:r>
      <w:r>
        <w:t xml:space="preserve">. RPC Gateway, Relayer, and Archive roles may be disabled while the validator onboarding contract is incomplete.</w:t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Create Validator Identity &amp; Backup</w:t>
      </w:r>
      <w:r>
        <w:t xml:space="preserve">, select</w:t>
      </w:r>
      <w:r>
        <w:t xml:space="preserve"> </w:t>
      </w:r>
      <w:r>
        <w:rPr>
          <w:b/>
          <w:bCs/>
        </w:rPr>
        <w:t xml:space="preserve">This computer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Remote server over SSH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For a remote target, use</w:t>
      </w:r>
      <w:r>
        <w:t xml:space="preserve"> </w:t>
      </w:r>
      <w:r>
        <w:rPr>
          <w:b/>
          <w:bCs/>
        </w:rPr>
        <w:t xml:space="preserve">Add SSH Target</w:t>
      </w:r>
      <w:r>
        <w:t xml:space="preserve">, choose</w:t>
      </w:r>
      <w:r>
        <w:t xml:space="preserve"> </w:t>
      </w:r>
      <w:r>
        <w:rPr>
          <w:rStyle w:val="VerbatimChar"/>
        </w:rPr>
        <w:t xml:space="preserve">NCP managed SSH key</w:t>
      </w:r>
      <w:r>
        <w:t xml:space="preserve">,</w:t>
      </w:r>
      <w:r>
        <w:t xml:space="preserve"> </w:t>
      </w:r>
      <w:r>
        <w:rPr>
          <w:rStyle w:val="VerbatimChar"/>
        </w:rPr>
        <w:t xml:space="preserve">Existing SSH key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One-time password bootstrap</w:t>
      </w:r>
      <w:r>
        <w:t xml:space="preserve">, then choose</w:t>
      </w:r>
      <w:r>
        <w:t xml:space="preserve"> </w:t>
      </w:r>
      <w:r>
        <w:rPr>
          <w:b/>
          <w:bCs/>
        </w:rPr>
        <w:t xml:space="preserve">Test SSH Connection</w:t>
      </w:r>
      <w:r>
        <w:t xml:space="preserve">. Install the displayed public key on the target when requested. See</w:t>
      </w:r>
      <w:r>
        <w:t xml:space="preserve"> </w:t>
      </w:r>
      <w:hyperlink r:id="rId10">
        <w:r>
          <w:rPr>
            <w:rStyle w:val="Hyperlink"/>
          </w:rPr>
          <w:t xml:space="preserve">Headless Ubuntu/Linux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Enter the validator nickname,</w:t>
      </w:r>
      <w:r>
        <w:t xml:space="preserve"> </w:t>
      </w:r>
      <w:r>
        <w:rPr>
          <w:b/>
          <w:bCs/>
        </w:rPr>
        <w:t xml:space="preserve">Synergy Testnet</w:t>
      </w:r>
      <w:r>
        <w:t xml:space="preserve">, storage location, and an encryption passphrase of at least 8 characters. Confirm the passphrase.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Validator Identity</w:t>
      </w:r>
      <w:r>
        <w:t xml:space="preserve">. The generated address must begin with</w:t>
      </w:r>
      <w:r>
        <w:t xml:space="preserve"> </w:t>
      </w:r>
      <w:r>
        <w:rPr>
          <w:rStyle w:val="VerbatimChar"/>
        </w:rPr>
        <w:t xml:space="preserve">synv1</w:t>
      </w:r>
      <w:r>
        <w:t xml:space="preserve">. Do not use a bootstrap package or edit the generated identity.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Export Encrypted Backup</w:t>
      </w:r>
      <w:r>
        <w:t xml:space="preserve">, save the backup outside the live workspace, and tick</w:t>
      </w:r>
      <w:r>
        <w:t xml:space="preserve"> </w:t>
      </w:r>
      <w:r>
        <w:rPr>
          <w:b/>
          <w:bCs/>
        </w:rPr>
        <w:t xml:space="preserve">I saved my encrypted backup and passphrase</w:t>
      </w:r>
      <w:r>
        <w:t xml:space="preserve"> </w:t>
      </w:r>
      <w:r>
        <w:t xml:space="preserve">only after the export succeeds. The passphrase cannot be recovered by Synergy Network.</w:t>
      </w:r>
    </w:p>
    <w:p>
      <w:pPr>
        <w:pStyle w:val="FirstParagraph"/>
      </w:pPr>
      <w:r>
        <w:t xml:space="preserve">The identity, configuration, state, evidence, logs, runtime, and rollback paths are created by the Control Panel. Treat the workspace as one managed unit.</w:t>
      </w:r>
    </w:p>
    <w:bookmarkEnd w:id="11"/>
    <w:bookmarkStart w:id="13" w:name="Xc378c42dd0a75513392dd82b3f88115efbcff34"/>
    <w:p>
      <w:pPr>
        <w:pStyle w:val="Heading2"/>
      </w:pPr>
      <w:r>
        <w:t xml:space="preserve">2. Secure Network Enrollment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Check Device, Secure Connection &amp; Sync</w:t>
      </w:r>
      <w:r>
        <w:t xml:space="preserve"> </w:t>
      </w:r>
      <w:r>
        <w:t xml:space="preserve">and run</w:t>
      </w:r>
      <w:r>
        <w:t xml:space="preserve"> </w:t>
      </w:r>
      <w:r>
        <w:rPr>
          <w:b/>
          <w:bCs/>
        </w:rPr>
        <w:t xml:space="preserve">Run Device Check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Enter the coordinator-issued secure-network onboarding token.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Connect Secure Network</w:t>
      </w:r>
      <w:r>
        <w:t xml:space="preserve">. The Control Panel requests an invite, redeems it with the official Innernet client, confirms the assigned interface/IP, records the coordinator receipt, and waits for configuration propagation.</w:t>
      </w:r>
    </w:p>
    <w:p>
      <w:pPr>
        <w:pStyle w:val="Compact"/>
        <w:numPr>
          <w:ilvl w:val="0"/>
          <w:numId w:val="1003"/>
        </w:numPr>
      </w:pPr>
      <w:r>
        <w:t xml:space="preserve">Continue only when the screen reports</w:t>
      </w:r>
      <w:r>
        <w:t xml:space="preserve"> </w:t>
      </w:r>
      <w:r>
        <w:rPr>
          <w:b/>
          <w:bCs/>
        </w:rPr>
        <w:t xml:space="preserve">Secure Network Confirmed</w:t>
      </w:r>
      <w:r>
        <w:t xml:space="preserve"> </w:t>
      </w:r>
      <w:r>
        <w:t xml:space="preserve">with coordinator confirmation and peer handshake evidence.</w:t>
      </w:r>
    </w:p>
    <w:p>
      <w:pPr>
        <w:pStyle w:val="FirstParagraph"/>
      </w:pPr>
      <w:r>
        <w:t xml:space="preserve">The central coordinator owns peer topology. Do not import peer lists, copy static VPN snapshots, or manually add each validator to other validators. A new validator is not complete until the coordinator's propagation evidence covers the enrolled fleet.</w:t>
      </w:r>
    </w:p>
    <w:bookmarkStart w:id="12" w:name="fail-closed-enrollment-conditions"/>
    <w:p>
      <w:pPr>
        <w:pStyle w:val="Heading3"/>
      </w:pPr>
      <w:r>
        <w:t xml:space="preserve">Fail-Closed Enrollment Conditions</w:t>
      </w:r>
    </w:p>
    <w:p>
      <w:pPr>
        <w:pStyle w:val="FirstParagraph"/>
      </w:pPr>
      <w:r>
        <w:t xml:space="preserve">Stop if any of these appears: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Innernet migration is not ready</w:t>
      </w:r>
      <w:r>
        <w:t xml:space="preserve"> </w:t>
      </w:r>
      <w:r>
        <w:t xml:space="preserve">or a migration/cutover blocker.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COORDINATOR_NOT_CONFIGURED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COORDINATOR_UNREACHABLE</w:t>
      </w:r>
      <w:r>
        <w:t xml:space="preserve">, invalid/expired token, or coordinator rejection.</w:t>
      </w:r>
    </w:p>
    <w:p>
      <w:pPr>
        <w:pStyle w:val="Compact"/>
        <w:numPr>
          <w:ilvl w:val="0"/>
          <w:numId w:val="1004"/>
        </w:numPr>
      </w:pPr>
      <w:r>
        <w:t xml:space="preserve">The target is not Linux amd64 for remote Innernet enrollment.</w:t>
      </w:r>
    </w:p>
    <w:p>
      <w:pPr>
        <w:pStyle w:val="Compact"/>
        <w:numPr>
          <w:ilvl w:val="0"/>
          <w:numId w:val="1004"/>
        </w:numPr>
      </w:pPr>
      <w:r>
        <w:t xml:space="preserve">Interface, assigned IP, enrollment ID, confirmation token, coordinator receipt, or propagation generation is missing or mismatched.</w:t>
      </w:r>
    </w:p>
    <w:p>
      <w:pPr>
        <w:pStyle w:val="Compact"/>
        <w:numPr>
          <w:ilvl w:val="0"/>
          <w:numId w:val="1004"/>
        </w:numPr>
      </w:pPr>
      <w:r>
        <w:t xml:space="preserve">Eligibility is not verified for the validator owner and</w:t>
      </w:r>
      <w:r>
        <w:t xml:space="preserve"> </w:t>
      </w:r>
      <w:r>
        <w:rPr>
          <w:rStyle w:val="VerbatimChar"/>
        </w:rPr>
        <w:t xml:space="preserve">50,000 SNRG</w:t>
      </w:r>
      <w:r>
        <w:t xml:space="preserve"> </w:t>
      </w:r>
      <w:r>
        <w:t xml:space="preserve">active stake.</w:t>
      </w:r>
    </w:p>
    <w:p>
      <w:pPr>
        <w:pStyle w:val="FirstParagraph"/>
      </w:pPr>
      <w:r>
        <w:t xml:space="preserve">The older static validator VPN agent is retired after Innernet cutover. Never report secure-network onboarding as available while migration readiness or live validator eligibility is blocked.</w:t>
      </w:r>
    </w:p>
    <w:bookmarkEnd w:id="12"/>
    <w:bookmarkEnd w:id="13"/>
    <w:bookmarkStart w:id="14" w:name="X6a21b79ed17df6e4a524edc0ce09575da5a0bff"/>
    <w:p>
      <w:pPr>
        <w:pStyle w:val="Heading2"/>
      </w:pPr>
      <w:r>
        <w:t xml:space="preserve">3. Archive Snapshot And Bootstrap</w:t>
      </w:r>
    </w:p>
    <w:p>
      <w:pPr>
        <w:pStyle w:val="FirstParagraph"/>
      </w:pPr>
      <w:r>
        <w:t xml:space="preserve">The default validator path is</w:t>
      </w:r>
      <w:r>
        <w:t xml:space="preserve"> </w:t>
      </w:r>
      <w:r>
        <w:rPr>
          <w:b/>
          <w:bCs/>
        </w:rPr>
        <w:t xml:space="preserve">Fast Snapshot Sync</w:t>
      </w:r>
      <w:r>
        <w:t xml:space="preserve">. It discovers the latest published</w:t>
      </w:r>
      <w:r>
        <w:t xml:space="preserve"> </w:t>
      </w:r>
      <w:r>
        <w:rPr>
          <w:rStyle w:val="VerbatimChar"/>
        </w:rPr>
        <w:t xml:space="preserve">validator-pruned</w:t>
      </w:r>
      <w:r>
        <w:t xml:space="preserve"> </w:t>
      </w:r>
      <w:r>
        <w:t xml:space="preserve">snapshot, downloads it, verifies it, applies it, and starts guarded catch-up. These are distinct stages; a download is not proof of a safe snapshot.</w:t>
      </w:r>
    </w:p>
    <w:p>
      <w:pPr>
        <w:pStyle w:val="Compact"/>
        <w:numPr>
          <w:ilvl w:val="0"/>
          <w:numId w:val="1005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Fast Chain Sync</w:t>
      </w:r>
      <w:r>
        <w:t xml:space="preserve">, select</w:t>
      </w:r>
      <w:r>
        <w:t xml:space="preserve"> </w:t>
      </w:r>
      <w:r>
        <w:rPr>
          <w:b/>
          <w:bCs/>
        </w:rPr>
        <w:t xml:space="preserve">Fast Snapshot Sync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Retry Snapshot</w:t>
      </w:r>
      <w:r>
        <w:t xml:space="preserve">. On</w:t>
      </w:r>
      <w:r>
        <w:t xml:space="preserve"> </w:t>
      </w:r>
      <w:r>
        <w:rPr>
          <w:b/>
          <w:bCs/>
        </w:rPr>
        <w:t xml:space="preserve">Node Details</w:t>
      </w:r>
      <w:r>
        <w:t xml:space="preserve">, the equivalent action is</w:t>
      </w:r>
      <w:r>
        <w:t xml:space="preserve"> </w:t>
      </w:r>
      <w:r>
        <w:rPr>
          <w:b/>
          <w:bCs/>
        </w:rPr>
        <w:t xml:space="preserve">Download &amp; Apply Validator Snapshot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Confirm the snapshot is for chain</w:t>
      </w:r>
      <w:r>
        <w:t xml:space="preserve"> </w:t>
      </w:r>
      <w:r>
        <w:rPr>
          <w:rStyle w:val="VerbatimChar"/>
        </w:rPr>
        <w:t xml:space="preserve">1264</w:t>
      </w:r>
      <w:r>
        <w:t xml:space="preserve">, network</w:t>
      </w:r>
      <w:r>
        <w:t xml:space="preserve"> </w:t>
      </w:r>
      <w:r>
        <w:rPr>
          <w:rStyle w:val="VerbatimChar"/>
        </w:rPr>
        <w:t xml:space="preserve">synergy-testnet-v2</w:t>
      </w:r>
      <w:r>
        <w:t xml:space="preserve">, the current FN-DSA/fail-closed fork, and target role</w:t>
      </w:r>
      <w:r>
        <w:t xml:space="preserve"> </w:t>
      </w:r>
      <w:r>
        <w:rPr>
          <w:rStyle w:val="VerbatimChar"/>
        </w:rPr>
        <w:t xml:space="preserve">validator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Require the archive state to be canonical and the snapshot verification to pass before any state is applied.</w:t>
      </w:r>
    </w:p>
    <w:p>
      <w:pPr>
        <w:pStyle w:val="Compact"/>
        <w:numPr>
          <w:ilvl w:val="0"/>
          <w:numId w:val="1005"/>
        </w:numPr>
      </w:pPr>
      <w:r>
        <w:t xml:space="preserve">Wait for</w:t>
      </w:r>
      <w:r>
        <w:t xml:space="preserve"> </w:t>
      </w:r>
      <w:r>
        <w:rPr>
          <w:b/>
          <w:bCs/>
        </w:rPr>
        <w:t xml:space="preserve">Snapshot applied</w:t>
      </w:r>
      <w:r>
        <w:t xml:space="preserve"> </w:t>
      </w:r>
      <w:r>
        <w:t xml:space="preserve">and then guarded catch-up. The Control Panel writes restore evidence under the validator workspace, including</w:t>
      </w:r>
      <w:r>
        <w:t xml:space="preserve"> </w:t>
      </w:r>
      <w:r>
        <w:rPr>
          <w:rStyle w:val="VerbatimChar"/>
        </w:rPr>
        <w:t xml:space="preserve">validator-pruned-snapshot-restore.json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validator-pruned-snapshot-sync-complete.json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Use Normal Sync</w:t>
      </w:r>
      <w:r>
        <w:t xml:space="preserve"> </w:t>
      </w:r>
      <w:r>
        <w:t xml:space="preserve">only when the UI explicitly permits it and the normal peer head-match evidence passes. Do not use it to bypass a snapshot, archive, or migration blocker.</w:t>
      </w:r>
    </w:p>
    <w:p>
      <w:pPr>
        <w:pStyle w:val="FirstParagraph"/>
      </w:pPr>
      <w:r>
        <w:t xml:space="preserve">The Control Panel rejects a snapshot with a missing hash/manifest, wrong chain or fork, non-green verification, wrong source role, stale package/schema, a catalog or verified snapshot older than six hours, or a</w:t>
      </w:r>
      <w:r>
        <w:t xml:space="preserve"> </w:t>
      </w:r>
      <w:r>
        <w:rPr>
          <w:rStyle w:val="VerbatimChar"/>
        </w:rPr>
        <w:t xml:space="preserve">GENESIS_VALIDATOR</w:t>
      </w:r>
      <w:r>
        <w:t xml:space="preserve"> </w:t>
      </w:r>
      <w:r>
        <w:t xml:space="preserve">source. A validator cannot launch or mark setup sync complete without the required verified state source.</w:t>
      </w:r>
    </w:p>
    <w:bookmarkEnd w:id="14"/>
    <w:bookmarkStart w:id="15" w:name="Xee13b3c50c0a15d776fdb8c19ee16f949e96ada"/>
    <w:p>
      <w:pPr>
        <w:pStyle w:val="Heading2"/>
      </w:pPr>
      <w:r>
        <w:t xml:space="preserve">4. Start, Catch Up, And Confirm Stake</w:t>
      </w:r>
    </w:p>
    <w:p>
      <w:pPr>
        <w:pStyle w:val="Compact"/>
        <w:numPr>
          <w:ilvl w:val="0"/>
          <w:numId w:val="1006"/>
        </w:numPr>
      </w:pPr>
      <w:r>
        <w:t xml:space="preserve">In</w:t>
      </w:r>
      <w:r>
        <w:t xml:space="preserve"> </w:t>
      </w:r>
      <w:r>
        <w:rPr>
          <w:b/>
          <w:bCs/>
        </w:rPr>
        <w:t xml:space="preserve">Connect Wallet &amp; Fund Validator</w:t>
      </w:r>
      <w:r>
        <w:t xml:space="preserve">, click</w:t>
      </w:r>
      <w:r>
        <w:t xml:space="preserve"> </w:t>
      </w:r>
      <w:r>
        <w:rPr>
          <w:b/>
          <w:bCs/>
        </w:rPr>
        <w:t xml:space="preserve">Connect Synergy Wallet</w:t>
      </w:r>
      <w:r>
        <w:t xml:space="preserve"> </w:t>
      </w:r>
      <w:r>
        <w:t xml:space="preserve">and approve the mobile pairing.</w:t>
      </w:r>
    </w:p>
    <w:p>
      <w:pPr>
        <w:pStyle w:val="Compact"/>
        <w:numPr>
          <w:ilvl w:val="0"/>
          <w:numId w:val="1006"/>
        </w:numPr>
      </w:pPr>
      <w:r>
        <w:t xml:space="preserve">Ensure the wallet and the selected validator address are correct. Use</w:t>
      </w:r>
      <w:r>
        <w:t xml:space="preserve"> </w:t>
      </w:r>
      <w:r>
        <w:rPr>
          <w:b/>
          <w:bCs/>
        </w:rPr>
        <w:t xml:space="preserve">Fund 50,000 SNRG</w:t>
      </w:r>
      <w:r>
        <w:t xml:space="preserve"> </w:t>
      </w:r>
      <w:r>
        <w:t xml:space="preserve">only for the displayed</w:t>
      </w:r>
      <w:r>
        <w:t xml:space="preserve"> </w:t>
      </w:r>
      <w:r>
        <w:rPr>
          <w:rStyle w:val="VerbatimChar"/>
        </w:rPr>
        <w:t xml:space="preserve">synv1...</w:t>
      </w:r>
      <w:r>
        <w:t xml:space="preserve"> </w:t>
      </w:r>
      <w:r>
        <w:t xml:space="preserve">identity.</w:t>
      </w:r>
    </w:p>
    <w:p>
      <w:pPr>
        <w:pStyle w:val="Compact"/>
        <w:numPr>
          <w:ilvl w:val="0"/>
          <w:numId w:val="1006"/>
        </w:numPr>
      </w:pPr>
      <w:r>
        <w:t xml:space="preserve">Wait for canonical funding confirmation. If the UI reports</w:t>
      </w:r>
      <w:r>
        <w:t xml:space="preserve"> </w:t>
      </w:r>
      <w:r>
        <w:rPr>
          <w:rStyle w:val="VerbatimChar"/>
        </w:rPr>
        <w:t xml:space="preserve">stake_pending</w:t>
      </w:r>
      <w:r>
        <w:t xml:space="preserve">, do not send another transfer.</w:t>
      </w:r>
    </w:p>
    <w:p>
      <w:pPr>
        <w:pStyle w:val="Compact"/>
        <w:numPr>
          <w:ilvl w:val="0"/>
          <w:numId w:val="1006"/>
        </w:numPr>
      </w:pPr>
      <w:r>
        <w:t xml:space="preserve">Complete Device, Secure Network, and Sync setup, then open</w:t>
      </w:r>
      <w:r>
        <w:t xml:space="preserve"> </w:t>
      </w:r>
      <w:r>
        <w:rPr>
          <w:b/>
          <w:bCs/>
        </w:rPr>
        <w:t xml:space="preserve">Launch &amp; Activate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Validator Onboarding</w:t>
      </w:r>
      <w:r>
        <w:t xml:space="preserve">. It starts the validator without assuming activation, loads the local runtime wallet, submits the self-bond exactly once, and waits for canonical bonded-stake confirmation.</w:t>
      </w:r>
    </w:p>
    <w:p>
      <w:pPr>
        <w:pStyle w:val="Compact"/>
        <w:numPr>
          <w:ilvl w:val="0"/>
          <w:numId w:val="1006"/>
        </w:numPr>
      </w:pPr>
      <w:r>
        <w:t xml:space="preserve">Wait for local RPC readiness, peer visibility, seed registration, and a sync gap of no more than the current activation threshold. Do not infer readiness from a running process alone.</w:t>
      </w:r>
    </w:p>
    <w:p>
      <w:pPr>
        <w:pStyle w:val="Compact"/>
        <w:numPr>
          <w:ilvl w:val="0"/>
          <w:numId w:val="1006"/>
        </w:numPr>
      </w:pPr>
      <w:r>
        <w:t xml:space="preserve">Continue only when</w:t>
      </w:r>
      <w:r>
        <w:t xml:space="preserve"> </w:t>
      </w:r>
      <w:r>
        <w:rPr>
          <w:b/>
          <w:bCs/>
        </w:rPr>
        <w:t xml:space="preserve">Bonded Stake Verified</w:t>
      </w:r>
      <w:r>
        <w:t xml:space="preserve"> </w:t>
      </w:r>
      <w:r>
        <w:t xml:space="preserve">or the preflight</w:t>
      </w:r>
      <w:r>
        <w:t xml:space="preserve"> </w:t>
      </w:r>
      <w:r>
        <w:rPr>
          <w:b/>
          <w:bCs/>
        </w:rPr>
        <w:t xml:space="preserve">Bonded stake</w:t>
      </w:r>
      <w:r>
        <w:t xml:space="preserve"> </w:t>
      </w:r>
      <w:r>
        <w:t xml:space="preserve">check passes. Use</w:t>
      </w:r>
      <w:r>
        <w:t xml:space="preserve"> </w:t>
      </w:r>
      <w:r>
        <w:rPr>
          <w:b/>
          <w:bCs/>
        </w:rPr>
        <w:t xml:space="preserve">Resume Validator Onboarding</w:t>
      </w:r>
      <w:r>
        <w:t xml:space="preserve"> </w:t>
      </w:r>
      <w:r>
        <w:t xml:space="preserve">if a submitted self-bond is still awaiting confirmation; replay protection prevents a duplicate bond.</w:t>
      </w:r>
    </w:p>
    <w:p>
      <w:pPr>
        <w:pStyle w:val="FirstParagraph"/>
      </w:pPr>
      <w:r>
        <w:t xml:space="preserve">The funding flow polls canonical eligibility after wallet approval. It can return</w:t>
      </w:r>
      <w:r>
        <w:t xml:space="preserve"> </w:t>
      </w:r>
      <w:r>
        <w:rPr>
          <w:rStyle w:val="VerbatimChar"/>
        </w:rPr>
        <w:t xml:space="preserve">stake_pending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fundingReadyToBond</w:t>
      </w:r>
      <w:r>
        <w:t xml:space="preserve">, or confirmed active stake.</w:t>
      </w:r>
      <w:r>
        <w:t xml:space="preserve"> </w:t>
      </w:r>
      <w:r>
        <w:rPr>
          <w:rStyle w:val="VerbatimChar"/>
        </w:rPr>
        <w:t xml:space="preserve">fundingReadyToBond</w:t>
      </w:r>
      <w:r>
        <w:t xml:space="preserve"> </w:t>
      </w:r>
      <w:r>
        <w:t xml:space="preserve">unlocks secure-network bootstrap but not activation or consensus. The local self-bond occurs only after the guarded runtime wallet is ready. Replay/confirmation is a read-and-verify loop, not a second payment. Reusing a transaction hash, sending a second transfer, or manually editing stake state is unsafe.</w:t>
      </w:r>
    </w:p>
    <w:bookmarkEnd w:id="15"/>
    <w:bookmarkStart w:id="16" w:name="X51a6defb421452226a04fb92b7e0001f84c5529"/>
    <w:p>
      <w:pPr>
        <w:pStyle w:val="Heading2"/>
      </w:pPr>
      <w:r>
        <w:t xml:space="preserve">5. Activation And Canonical Confirmation</w:t>
      </w:r>
    </w:p>
    <w:p>
      <w:pPr>
        <w:pStyle w:val="FirstParagraph"/>
      </w:pPr>
      <w:r>
        <w:t xml:space="preserve">Before activation, run</w:t>
      </w:r>
      <w:r>
        <w:t xml:space="preserve"> </w:t>
      </w:r>
      <w:r>
        <w:rPr>
          <w:b/>
          <w:bCs/>
        </w:rPr>
        <w:t xml:space="preserve">Activation Preflight</w:t>
      </w:r>
      <w:r>
        <w:t xml:space="preserve">. Required checks include the validator role/address, canonical genesis and chain state, current fork metadata, FN-DSA key, local RPC, public/secure network route, peers and seed registration, local signing key, runtime wallet, sync gap, dynamic cluster/epoch eligibility, owner funding, and bonded stake.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Start Validator Onboarding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Resume Validator Onboarding</w:t>
      </w:r>
      <w:r>
        <w:t xml:space="preserve"> </w:t>
      </w:r>
      <w:r>
        <w:t xml:space="preserve">to complete observation and evidence gates.</w:t>
      </w:r>
    </w:p>
    <w:p>
      <w:pPr>
        <w:pStyle w:val="Compact"/>
        <w:numPr>
          <w:ilvl w:val="0"/>
          <w:numId w:val="1007"/>
        </w:numPr>
      </w:pPr>
      <w:r>
        <w:t xml:space="preserve">If preflight enables it, click</w:t>
      </w:r>
      <w:r>
        <w:t xml:space="preserve"> </w:t>
      </w:r>
      <w:r>
        <w:rPr>
          <w:b/>
          <w:bCs/>
        </w:rPr>
        <w:t xml:space="preserve">Submit Activation Transaction</w:t>
      </w:r>
      <w:r>
        <w:t xml:space="preserve"> </w:t>
      </w:r>
      <w:r>
        <w:t xml:space="preserve">or the lifecycle action</w:t>
      </w:r>
      <w:r>
        <w:t xml:space="preserve"> </w:t>
      </w:r>
      <w:r>
        <w:rPr>
          <w:b/>
          <w:bCs/>
        </w:rPr>
        <w:t xml:space="preserve">Submit Activation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Keep the validator running and wait. The UI may show</w:t>
      </w:r>
      <w:r>
        <w:t xml:space="preserve"> </w:t>
      </w:r>
      <w:r>
        <w:rPr>
          <w:rStyle w:val="VerbatimChar"/>
        </w:rPr>
        <w:t xml:space="preserve">PENDING_ACTIVATION</w:t>
      </w:r>
      <w:r>
        <w:t xml:space="preserve">; this is not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Validator Detail</w:t>
      </w:r>
      <w:r>
        <w:t xml:space="preserve"> </w:t>
      </w:r>
      <w:r>
        <w:t xml:space="preserve">and verify canonical activation evidence for the same node ID and</w:t>
      </w:r>
      <w:r>
        <w:t xml:space="preserve"> </w:t>
      </w:r>
      <w:r>
        <w:rPr>
          <w:rStyle w:val="VerbatimChar"/>
        </w:rPr>
        <w:t xml:space="preserve">synv1...</w:t>
      </w:r>
      <w:r>
        <w:t xml:space="preserve"> </w:t>
      </w:r>
      <w:r>
        <w:t xml:space="preserve">address before using the dashboard as proof.</w:t>
      </w:r>
    </w:p>
    <w:p>
      <w:pPr>
        <w:pStyle w:val="FirstParagraph"/>
      </w:pPr>
      <w:r>
        <w:t xml:space="preserve">The Control Panel will not hand off to the dashboard until canonical activation confirmation is visible. A reachable P2P endpoint, seed dial-back, submitted activation transaction, or a local status of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is insufficient.</w:t>
      </w:r>
    </w:p>
    <w:bookmarkEnd w:id="16"/>
    <w:bookmarkStart w:id="19" w:name="Xfbc9e6a7a6aa111996466bfdea098c2ff58b318"/>
    <w:p>
      <w:pPr>
        <w:pStyle w:val="Heading2"/>
      </w:pPr>
      <w:r>
        <w:t xml:space="preserve">6. Verification And Routine Operations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Validator Lifecycle</w:t>
      </w:r>
      <w:r>
        <w:t xml:space="preserve">,</w:t>
      </w:r>
      <w:r>
        <w:t xml:space="preserve"> </w:t>
      </w:r>
      <w:r>
        <w:rPr>
          <w:b/>
          <w:bCs/>
        </w:rPr>
        <w:t xml:space="preserve">Validator Detail</w:t>
      </w:r>
      <w:r>
        <w:t xml:space="preserve">,</w:t>
      </w:r>
      <w:r>
        <w:t xml:space="preserve"> </w:t>
      </w:r>
      <w:r>
        <w:rPr>
          <w:b/>
          <w:bCs/>
        </w:rPr>
        <w:t xml:space="preserve">Connections</w:t>
      </w:r>
      <w:r>
        <w:t xml:space="preserve">,</w:t>
      </w:r>
      <w:r>
        <w:t xml:space="preserve"> </w:t>
      </w:r>
      <w:r>
        <w:rPr>
          <w:b/>
          <w:bCs/>
        </w:rPr>
        <w:t xml:space="preserve">Rewards + Stake</w:t>
      </w:r>
      <w:r>
        <w:t xml:space="preserve">,</w:t>
      </w:r>
      <w:r>
        <w:t xml:space="preserve"> </w:t>
      </w:r>
      <w:r>
        <w:rPr>
          <w:b/>
          <w:bCs/>
        </w:rPr>
        <w:t xml:space="preserve">Identity + Security</w:t>
      </w:r>
      <w:r>
        <w:t xml:space="preserve">,</w:t>
      </w:r>
      <w:r>
        <w:t xml:space="preserve"> </w:t>
      </w:r>
      <w:r>
        <w:rPr>
          <w:b/>
          <w:bCs/>
        </w:rPr>
        <w:t xml:space="preserve">Archive Manager</w:t>
      </w:r>
      <w:r>
        <w:t xml:space="preserve">,</w:t>
      </w:r>
      <w:r>
        <w:t xml:space="preserve"> </w:t>
      </w:r>
      <w:r>
        <w:rPr>
          <w:b/>
          <w:bCs/>
        </w:rPr>
        <w:t xml:space="preserve">Storage + Snapshots</w:t>
      </w:r>
      <w:r>
        <w:t xml:space="preserve">,</w:t>
      </w:r>
      <w:r>
        <w:t xml:space="preserve"> </w:t>
      </w:r>
      <w:r>
        <w:rPr>
          <w:b/>
          <w:bCs/>
        </w:rPr>
        <w:t xml:space="preserve">Logs</w:t>
      </w:r>
      <w:r>
        <w:t xml:space="preserve">, and</w:t>
      </w:r>
      <w:r>
        <w:t xml:space="preserve"> </w:t>
      </w:r>
      <w:r>
        <w:rPr>
          <w:b/>
          <w:bCs/>
        </w:rPr>
        <w:t xml:space="preserve">Incidents</w:t>
      </w:r>
      <w:r>
        <w:t xml:space="preserve"> </w:t>
      </w:r>
      <w:r>
        <w:t xml:space="preserve">according to the task.</w:t>
      </w:r>
    </w:p>
    <w:bookmarkStart w:id="17" w:name="operations-screen"/>
    <w:p>
      <w:pPr>
        <w:pStyle w:val="Heading3"/>
      </w:pPr>
      <w:r>
        <w:t xml:space="preserve">Operations Screen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Operations</w:t>
      </w:r>
      <w:r>
        <w:t xml:space="preserve"> </w:t>
      </w:r>
      <w:r>
        <w:t xml:space="preserve">screen groups the available node controls into nine areas:</w:t>
      </w:r>
      <w:r>
        <w:t xml:space="preserve"> </w:t>
      </w:r>
      <w:r>
        <w:rPr>
          <w:b/>
          <w:bCs/>
        </w:rPr>
        <w:t xml:space="preserve">Lifecycle</w:t>
      </w:r>
      <w:r>
        <w:t xml:space="preserve">,</w:t>
      </w:r>
      <w:r>
        <w:t xml:space="preserve"> </w:t>
      </w:r>
      <w:r>
        <w:rPr>
          <w:b/>
          <w:bCs/>
        </w:rPr>
        <w:t xml:space="preserve">Network &amp; VPN</w:t>
      </w:r>
      <w:r>
        <w:t xml:space="preserve">,</w:t>
      </w:r>
      <w:r>
        <w:t xml:space="preserve"> </w:t>
      </w:r>
      <w:r>
        <w:rPr>
          <w:b/>
          <w:bCs/>
        </w:rPr>
        <w:t xml:space="preserve">Sync &amp; Chain State</w:t>
      </w:r>
      <w:r>
        <w:t xml:space="preserve">,</w:t>
      </w:r>
      <w:r>
        <w:t xml:space="preserve"> </w:t>
      </w:r>
      <w:r>
        <w:rPr>
          <w:b/>
          <w:bCs/>
        </w:rPr>
        <w:t xml:space="preserve">Snapshots &amp; Recovery</w:t>
      </w:r>
      <w:r>
        <w:t xml:space="preserve">,</w:t>
      </w:r>
      <w:r>
        <w:t xml:space="preserve"> </w:t>
      </w:r>
      <w:r>
        <w:rPr>
          <w:b/>
          <w:bCs/>
        </w:rPr>
        <w:t xml:space="preserve">Staking &amp; Rewards</w:t>
      </w:r>
      <w:r>
        <w:t xml:space="preserve">,</w:t>
      </w:r>
      <w:r>
        <w:t xml:space="preserve"> </w:t>
      </w:r>
      <w:r>
        <w:rPr>
          <w:b/>
          <w:bCs/>
        </w:rPr>
        <w:t xml:space="preserve">Consensus</w:t>
      </w:r>
      <w:r>
        <w:t xml:space="preserve">,</w:t>
      </w:r>
      <w:r>
        <w:t xml:space="preserve"> </w:t>
      </w:r>
      <w:r>
        <w:rPr>
          <w:b/>
          <w:bCs/>
        </w:rPr>
        <w:t xml:space="preserve">Wallet &amp; Keys</w:t>
      </w:r>
      <w:r>
        <w:t xml:space="preserve">,</w:t>
      </w:r>
      <w:r>
        <w:t xml:space="preserve"> </w:t>
      </w:r>
      <w:r>
        <w:rPr>
          <w:b/>
          <w:bCs/>
        </w:rPr>
        <w:t xml:space="preserve">Logs &amp; Diagnostics</w:t>
      </w:r>
      <w:r>
        <w:t xml:space="preserve">, and</w:t>
      </w:r>
      <w:r>
        <w:t xml:space="preserve"> </w:t>
      </w:r>
      <w:r>
        <w:rPr>
          <w:b/>
          <w:bCs/>
        </w:rPr>
        <w:t xml:space="preserve">Updates &amp; Maintenance</w:t>
      </w:r>
      <w:r>
        <w:t xml:space="preserve">. The screen shows only actions that the installed Control Panel can execute. Briefly hover over an action button to see a plain-language explanation before using it.</w:t>
      </w:r>
    </w:p>
    <w:p>
      <w:pPr>
        <w:pStyle w:val="Compact"/>
        <w:numPr>
          <w:ilvl w:val="0"/>
          <w:numId w:val="1008"/>
        </w:numPr>
      </w:pPr>
      <w:r>
        <w:t xml:space="preserve">Select an action to review what it will do. Actions that can stop a service, alter node state, change keys, or start recovery require confirmation.</w:t>
      </w:r>
    </w:p>
    <w:p>
      <w:pPr>
        <w:pStyle w:val="Compact"/>
        <w:numPr>
          <w:ilvl w:val="0"/>
          <w:numId w:val="1008"/>
        </w:numPr>
      </w:pPr>
      <w:r>
        <w:t xml:space="preserve">Wait for the result shown by the Control Panel before starting another state-changing action. A button press is not proof that the requested state was reached.</w:t>
      </w:r>
    </w:p>
    <w:p>
      <w:pPr>
        <w:pStyle w:val="Compact"/>
        <w:numPr>
          <w:ilvl w:val="0"/>
          <w:numId w:val="1008"/>
        </w:numPr>
      </w:pPr>
      <w:r>
        <w:t xml:space="preserve">Use the structured action buttons for routine node work. They apply the selected workspace, preserve evidence, and return an operator-readable result.</w:t>
      </w:r>
    </w:p>
    <w:p>
      <w:pPr>
        <w:pStyle w:val="Compact"/>
        <w:numPr>
          <w:ilvl w:val="0"/>
          <w:numId w:val="1008"/>
        </w:numPr>
      </w:pPr>
      <w:r>
        <w:t xml:space="preserve">Do not use an action for a different validator workspace or repeat a pending transaction merely because the result is taking time.</w:t>
      </w:r>
    </w:p>
    <w:bookmarkEnd w:id="17"/>
    <w:bookmarkStart w:id="18" w:name="integrated-host-terminal"/>
    <w:p>
      <w:pPr>
        <w:pStyle w:val="Heading3"/>
      </w:pPr>
      <w:r>
        <w:t xml:space="preserve">Integrated Host Terminal</w:t>
      </w:r>
    </w:p>
    <w:p>
      <w:pPr>
        <w:pStyle w:val="FirstParagraph"/>
      </w:pPr>
      <w:r>
        <w:t xml:space="preserve">The terminal on</w:t>
      </w:r>
      <w:r>
        <w:t xml:space="preserve"> </w:t>
      </w:r>
      <w:r>
        <w:rPr>
          <w:b/>
          <w:bCs/>
        </w:rPr>
        <w:t xml:space="preserve">Operations</w:t>
      </w:r>
      <w:r>
        <w:t xml:space="preserve"> </w:t>
      </w:r>
      <w:r>
        <w:t xml:space="preserve">is a real interactive shell on the computer where the Control Panel application is running. It is not automatically a terminal on a remote validator selected elsewhere in the app.</w:t>
      </w:r>
    </w:p>
    <w:p>
      <w:pPr>
        <w:pStyle w:val="Compact"/>
        <w:numPr>
          <w:ilvl w:val="0"/>
          <w:numId w:val="1009"/>
        </w:numPr>
      </w:pPr>
      <w:r>
        <w:t xml:space="preserve">Commands run with the permissions of the user who launched the Control Panel. Administrative commands may request the computer's macOS administrator password or Linux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password.</w:t>
      </w:r>
    </w:p>
    <w:p>
      <w:pPr>
        <w:pStyle w:val="Compact"/>
        <w:numPr>
          <w:ilvl w:val="0"/>
          <w:numId w:val="1009"/>
        </w:numPr>
      </w:pPr>
      <w:r>
        <w:t xml:space="preserve">The terminal supports normal interactive programs, command history for the current session, keyboard input, terminal resizing, and interrupt signals such as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Reloading or closing the Control Panel ends the terminal session and any process still attached to it.</w:t>
      </w:r>
    </w:p>
    <w:p>
      <w:pPr>
        <w:pStyle w:val="Compact"/>
        <w:numPr>
          <w:ilvl w:val="0"/>
          <w:numId w:val="1009"/>
        </w:numPr>
      </w:pPr>
      <w:r>
        <w:t xml:space="preserve">The Control Panel does not record typed terminal input or passwords in its node-action audit log. Shell history or the operating system may still record commands according to that computer's configuration.</w:t>
      </w:r>
    </w:p>
    <w:p>
      <w:pPr>
        <w:pStyle w:val="Compact"/>
        <w:numPr>
          <w:ilvl w:val="0"/>
          <w:numId w:val="1009"/>
        </w:numPr>
      </w:pPr>
      <w:r>
        <w:t xml:space="preserve">Enter commands only when you understand their effect or when Synergy support provides an exact command. Never paste a private key, wallet secret, one-time onboarding token, or coordinator administrator key into support messages.</w:t>
      </w:r>
    </w:p>
    <w:p>
      <w:pPr>
        <w:pStyle w:val="FirstParagraph"/>
      </w:pPr>
      <w:r>
        <w:t xml:space="preserve">Read-only checks: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Refresh</w:t>
      </w:r>
      <w:r>
        <w:t xml:space="preserve"> </w:t>
      </w:r>
      <w:r>
        <w:t xml:space="preserve">live status and inspect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 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 path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Rollback path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Run Device Check</w:t>
      </w:r>
      <w:r>
        <w:t xml:space="preserve"> </w:t>
      </w:r>
      <w:r>
        <w:t xml:space="preserve">after host, firewall, storage, or SSH changes.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Activation Preflight</w:t>
      </w:r>
      <w:r>
        <w:t xml:space="preserve"> </w:t>
      </w:r>
      <w:r>
        <w:t xml:space="preserve">before any activation retry.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Verify Bond</w:t>
      </w:r>
      <w:r>
        <w:t xml:space="preserve"> </w:t>
      </w:r>
      <w:r>
        <w:t xml:space="preserve">after a funding transaction is included.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Verify Canonical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Reseed Plan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Archive Manager</w:t>
      </w:r>
      <w:r>
        <w:t xml:space="preserve"> </w:t>
      </w:r>
      <w:r>
        <w:t xml:space="preserve">before using archive state.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Dry-run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Replan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State Sync</w:t>
      </w:r>
      <w:r>
        <w:t xml:space="preserve"> </w:t>
      </w:r>
      <w:r>
        <w:t xml:space="preserve">before repair.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View Logs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Incidents</w:t>
      </w:r>
      <w:r>
        <w:t xml:space="preserve"> </w:t>
      </w:r>
      <w:r>
        <w:t xml:space="preserve">to preserve the structured blocker and evidence path.</w:t>
      </w:r>
    </w:p>
    <w:p>
      <w:pPr>
        <w:pStyle w:val="FirstParagraph"/>
      </w:pPr>
      <w:r>
        <w:t xml:space="preserve">Routine actions: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Start</w:t>
      </w:r>
      <w:r>
        <w:t xml:space="preserve">,</w:t>
      </w:r>
      <w:r>
        <w:t xml:space="preserve"> </w:t>
      </w:r>
      <w:r>
        <w:rPr>
          <w:b/>
          <w:bCs/>
        </w:rPr>
        <w:t xml:space="preserve">Stop</w:t>
      </w:r>
      <w:r>
        <w:t xml:space="preserve">,</w:t>
      </w:r>
      <w:r>
        <w:t xml:space="preserve"> </w:t>
      </w:r>
      <w:r>
        <w:rPr>
          <w:b/>
          <w:bCs/>
        </w:rPr>
        <w:t xml:space="preserve">Restart</w:t>
      </w:r>
      <w:r>
        <w:t xml:space="preserve">,</w:t>
      </w:r>
      <w:r>
        <w:t xml:space="preserve"> </w:t>
      </w:r>
      <w:r>
        <w:rPr>
          <w:b/>
          <w:bCs/>
        </w:rPr>
        <w:t xml:space="preserve">Safe Shutdown</w:t>
      </w:r>
      <w:r>
        <w:t xml:space="preserve">,</w:t>
      </w:r>
      <w:r>
        <w:t xml:space="preserve"> </w:t>
      </w:r>
      <w:r>
        <w:rPr>
          <w:b/>
          <w:bCs/>
        </w:rPr>
        <w:t xml:space="preserve">Sync Catch Up</w:t>
      </w:r>
      <w:r>
        <w:t xml:space="preserve">,</w:t>
      </w:r>
      <w:r>
        <w:t xml:space="preserve"> </w:t>
      </w:r>
      <w:r>
        <w:rPr>
          <w:b/>
          <w:bCs/>
        </w:rPr>
        <w:t xml:space="preserve">Re-register</w:t>
      </w:r>
      <w:r>
        <w:t xml:space="preserve">, and</w:t>
      </w:r>
      <w:r>
        <w:t xml:space="preserve"> </w:t>
      </w:r>
      <w:r>
        <w:rPr>
          <w:b/>
          <w:bCs/>
        </w:rPr>
        <w:t xml:space="preserve">Refresh Peers</w:t>
      </w:r>
      <w:r>
        <w:t xml:space="preserve"> </w:t>
      </w:r>
      <w:r>
        <w:t xml:space="preserve">only from the selected node's Control Panel actions.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Download &amp; Apply Validator Snapshot</w:t>
      </w:r>
      <w:r>
        <w:t xml:space="preserve"> </w:t>
      </w:r>
      <w:r>
        <w:t xml:space="preserve">only after the archive verification path is green.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Vote-only Rejoin</w:t>
      </w:r>
      <w:r>
        <w:t xml:space="preserve">,</w:t>
      </w:r>
      <w:r>
        <w:t xml:space="preserve"> </w:t>
      </w:r>
      <w:r>
        <w:rPr>
          <w:b/>
          <w:bCs/>
        </w:rPr>
        <w:t xml:space="preserve">Promote Probation</w:t>
      </w:r>
      <w:r>
        <w:t xml:space="preserve">, and</w:t>
      </w:r>
      <w:r>
        <w:t xml:space="preserve"> </w:t>
      </w:r>
      <w:r>
        <w:rPr>
          <w:b/>
          <w:bCs/>
        </w:rPr>
        <w:t xml:space="preserve">Restore Proposer Duties</w:t>
      </w:r>
      <w:r>
        <w:t xml:space="preserve"> </w:t>
      </w:r>
      <w:r>
        <w:t xml:space="preserve">only in the order shown by lifecycle evidence. Do not force proposer duties.</w:t>
      </w:r>
    </w:p>
    <w:p>
      <w:pPr>
        <w:pStyle w:val="Compact"/>
        <w:numPr>
          <w:ilvl w:val="0"/>
          <w:numId w:val="1011"/>
        </w:numPr>
      </w:pPr>
      <w:r>
        <w:t xml:space="preserve">Keep a single Control Panel/runtime owner per workspace. Do not combine Control Panel actions with a manually started validator.</w:t>
      </w:r>
    </w:p>
    <w:bookmarkEnd w:id="18"/>
    <w:bookmarkEnd w:id="19"/>
    <w:bookmarkStart w:id="20" w:name="X3ec63012117298d28ec2a539a6d04607cb81126"/>
    <w:p>
      <w:pPr>
        <w:pStyle w:val="Heading2"/>
      </w:pPr>
      <w:r>
        <w:t xml:space="preserve">7. Recovery And Replay</w:t>
      </w:r>
    </w:p>
    <w:p>
      <w:pPr>
        <w:pStyle w:val="FirstParagraph"/>
      </w:pPr>
      <w:r>
        <w:t xml:space="preserve">When a validator diverges, becomes stale, or reports failed-closed status:</w:t>
      </w:r>
    </w:p>
    <w:p>
      <w:pPr>
        <w:pStyle w:val="Compact"/>
        <w:numPr>
          <w:ilvl w:val="0"/>
          <w:numId w:val="101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Validator Detail &gt; Recovery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Incidents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Record the incident ID, node, cluster, root cause, lifecycle, local/peer heights, quorum evidence, and evidence path.</w:t>
      </w:r>
    </w:p>
    <w:p>
      <w:pPr>
        <w:pStyle w:val="Compact"/>
        <w:numPr>
          <w:ilvl w:val="0"/>
          <w:numId w:val="1012"/>
        </w:numPr>
      </w:pPr>
      <w:r>
        <w:t xml:space="preserve">Stop signing work through the lifecycle controls. A quarantined validator must not vote, propose, aggregate QC, or count toward quorum.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Plan Recovery</w:t>
      </w:r>
      <w:r>
        <w:t xml:space="preserve">. The plan must show service stopped, quarantine evidence, quorum proof, a canonical archive/state source, and a rollback path.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Dry-run State Sync</w:t>
      </w:r>
      <w:r>
        <w:t xml:space="preserve"> </w:t>
      </w:r>
      <w:r>
        <w:t xml:space="preserve">and repair only after peer quorum agreement passes. State repair replaces only quorum-verified ranges after backup.</w:t>
      </w:r>
    </w:p>
    <w:p>
      <w:pPr>
        <w:pStyle w:val="Compact"/>
        <w:numPr>
          <w:ilvl w:val="0"/>
          <w:numId w:val="1012"/>
        </w:numPr>
      </w:pPr>
      <w:r>
        <w:t xml:space="preserve">If snapshot repair is selected, require</w:t>
      </w:r>
      <w:r>
        <w:t xml:space="preserve"> </w:t>
      </w:r>
      <w:r>
        <w:rPr>
          <w:b/>
          <w:bCs/>
        </w:rPr>
        <w:t xml:space="preserve">Verify Snapshot</w:t>
      </w:r>
      <w:r>
        <w:t xml:space="preserve"> </w:t>
      </w:r>
      <w:r>
        <w:t xml:space="preserve">and a canonical archive state before</w:t>
      </w:r>
      <w:r>
        <w:t xml:space="preserve"> </w:t>
      </w:r>
      <w:r>
        <w:rPr>
          <w:b/>
          <w:bCs/>
        </w:rPr>
        <w:t xml:space="preserve">Repair From Snapshot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Wait for the recovery sequence: snapshot selected/downloaded/verified, divergent data removed, canonical speed-sync, QC verification,</w:t>
      </w:r>
      <w:r>
        <w:t xml:space="preserve"> </w:t>
      </w:r>
      <w:r>
        <w:rPr>
          <w:b/>
          <w:bCs/>
        </w:rPr>
        <w:t xml:space="preserve">State replay completed</w:t>
      </w:r>
      <w:r>
        <w:t xml:space="preserve">, index rebuild, rejoin checks, and</w:t>
      </w:r>
      <w:r>
        <w:t xml:space="preserve"> </w:t>
      </w:r>
      <w:r>
        <w:rPr>
          <w:b/>
          <w:bCs/>
        </w:rPr>
        <w:t xml:space="preserve">Ready to rejoin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Request</w:t>
      </w:r>
      <w:r>
        <w:t xml:space="preserve"> </w:t>
      </w:r>
      <w:r>
        <w:rPr>
          <w:b/>
          <w:bCs/>
        </w:rPr>
        <w:t xml:space="preserve">Vote-only Rejoin</w:t>
      </w:r>
      <w:r>
        <w:t xml:space="preserve">, then</w:t>
      </w:r>
      <w:r>
        <w:t xml:space="preserve"> </w:t>
      </w:r>
      <w:r>
        <w:rPr>
          <w:b/>
          <w:bCs/>
        </w:rPr>
        <w:t xml:space="preserve">Promote Probation</w:t>
      </w:r>
      <w:r>
        <w:t xml:space="preserve">, then</w:t>
      </w:r>
      <w:r>
        <w:t xml:space="preserve"> </w:t>
      </w:r>
      <w:r>
        <w:rPr>
          <w:b/>
          <w:bCs/>
        </w:rPr>
        <w:t xml:space="preserve">Restore Proposer Duties</w:t>
      </w:r>
      <w:r>
        <w:t xml:space="preserve"> </w:t>
      </w:r>
      <w:r>
        <w:t xml:space="preserve">only when the corresponding evidence is green.</w:t>
      </w:r>
    </w:p>
    <w:p>
      <w:pPr>
        <w:pStyle w:val="FirstParagraph"/>
      </w:pPr>
      <w:r>
        <w:t xml:space="preserve">Restart is not a repair method. Never delete or edit consensus state by hand, copy snapshots manually, or clear a quarantine marker to force activation.</w:t>
      </w:r>
    </w:p>
    <w:bookmarkEnd w:id="20"/>
    <w:bookmarkStart w:id="21" w:name="Xcf1103d53f0d57ece946462531c5f42d669a0fd"/>
    <w:p>
      <w:pPr>
        <w:pStyle w:val="Heading2"/>
      </w:pPr>
      <w:r>
        <w:t xml:space="preserve">8. Support Evidence</w:t>
      </w:r>
    </w:p>
    <w:p>
      <w:pPr>
        <w:pStyle w:val="FirstParagraph"/>
      </w:pPr>
      <w:r>
        <w:t xml:space="preserve">Before contacting support, preserve the Control Panel's structured evidence:</w:t>
      </w:r>
    </w:p>
    <w:p>
      <w:pPr>
        <w:pStyle w:val="Compact"/>
        <w:numPr>
          <w:ilvl w:val="0"/>
          <w:numId w:val="1013"/>
        </w:numPr>
      </w:pPr>
      <w:r>
        <w:t xml:space="preserve">App version from</w:t>
      </w:r>
      <w:r>
        <w:t xml:space="preserve"> </w:t>
      </w:r>
      <w:r>
        <w:rPr>
          <w:b/>
          <w:bCs/>
        </w:rPr>
        <w:t xml:space="preserve">Settings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Target mode and target ID; never include private keys or one-time passwords.</w:t>
      </w:r>
    </w:p>
    <w:p>
      <w:pPr>
        <w:pStyle w:val="Compact"/>
        <w:numPr>
          <w:ilvl w:val="0"/>
          <w:numId w:val="1013"/>
        </w:numPr>
      </w:pPr>
      <w:r>
        <w:t xml:space="preserve">Validator node ID,</w:t>
      </w:r>
      <w:r>
        <w:t xml:space="preserve"> </w:t>
      </w:r>
      <w:r>
        <w:rPr>
          <w:rStyle w:val="VerbatimChar"/>
        </w:rPr>
        <w:t xml:space="preserve">synv1...</w:t>
      </w:r>
      <w:r>
        <w:t xml:space="preserve"> </w:t>
      </w:r>
      <w:r>
        <w:t xml:space="preserve">address, chain ID, and network ID.</w:t>
      </w:r>
    </w:p>
    <w:p>
      <w:pPr>
        <w:pStyle w:val="Compact"/>
        <w:numPr>
          <w:ilvl w:val="0"/>
          <w:numId w:val="1013"/>
        </w:numPr>
      </w:pPr>
      <w:r>
        <w:t xml:space="preserve">Current lifecycle/status headline and the exact blocker code/message.</w:t>
      </w:r>
    </w:p>
    <w:p>
      <w:pPr>
        <w:pStyle w:val="Compact"/>
        <w:numPr>
          <w:ilvl w:val="0"/>
          <w:numId w:val="1013"/>
        </w:numPr>
      </w:pPr>
      <w:r>
        <w:t xml:space="preserve">Incident ID, UTC timestamps,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rollback_path</w:t>
      </w:r>
      <w:r>
        <w:t xml:space="preserve">, and next action.</w:t>
      </w:r>
    </w:p>
    <w:p>
      <w:pPr>
        <w:pStyle w:val="Compact"/>
        <w:numPr>
          <w:ilvl w:val="0"/>
          <w:numId w:val="1013"/>
        </w:numPr>
      </w:pPr>
      <w:r>
        <w:t xml:space="preserve">Snapshot ID, height, manifest/hash, archive state, and verifier result.</w:t>
      </w:r>
    </w:p>
    <w:p>
      <w:pPr>
        <w:pStyle w:val="Compact"/>
        <w:numPr>
          <w:ilvl w:val="0"/>
          <w:numId w:val="1013"/>
        </w:numPr>
      </w:pPr>
      <w:r>
        <w:t xml:space="preserve">Stake transaction hash and the</w:t>
      </w:r>
      <w:r>
        <w:t xml:space="preserve"> </w:t>
      </w:r>
      <w:r>
        <w:rPr>
          <w:b/>
          <w:bCs/>
        </w:rPr>
        <w:t xml:space="preserve">Verify Bond</w:t>
      </w:r>
      <w:r>
        <w:t xml:space="preserve"> </w:t>
      </w:r>
      <w:r>
        <w:t xml:space="preserve">result; do not submit another transfer while pending.</w:t>
      </w:r>
    </w:p>
    <w:p>
      <w:pPr>
        <w:pStyle w:val="Compact"/>
        <w:numPr>
          <w:ilvl w:val="0"/>
          <w:numId w:val="1013"/>
        </w:numPr>
      </w:pPr>
      <w:r>
        <w:t xml:space="preserve">Secure-network enrollment ID, assigned IP, interface name, configuration generation, coordinator receipt status, and propagation result. Redact confirmation tokens.</w:t>
      </w:r>
    </w:p>
    <w:p>
      <w:pPr>
        <w:pStyle w:val="Compact"/>
        <w:numPr>
          <w:ilvl w:val="0"/>
          <w:numId w:val="1013"/>
        </w:numPr>
      </w:pPr>
      <w:r>
        <w:t xml:space="preserve">Relevant</w:t>
      </w:r>
      <w:r>
        <w:t xml:space="preserve"> </w:t>
      </w:r>
      <w:r>
        <w:rPr>
          <w:b/>
          <w:bCs/>
        </w:rPr>
        <w:t xml:space="preserve">Logs</w:t>
      </w:r>
      <w:r>
        <w:t xml:space="preserve">,</w:t>
      </w:r>
      <w:r>
        <w:t xml:space="preserve"> </w:t>
      </w:r>
      <w:r>
        <w:rPr>
          <w:b/>
          <w:bCs/>
        </w:rPr>
        <w:t xml:space="preserve">Diagnostics</w:t>
      </w:r>
      <w:r>
        <w:t xml:space="preserve">,</w:t>
      </w:r>
      <w:r>
        <w:t xml:space="preserve"> </w:t>
      </w:r>
      <w:r>
        <w:rPr>
          <w:b/>
          <w:bCs/>
        </w:rPr>
        <w:t xml:space="preserve">Validator Detail</w:t>
      </w:r>
      <w:r>
        <w:t xml:space="preserve">, and</w:t>
      </w:r>
      <w:r>
        <w:t xml:space="preserve"> </w:t>
      </w:r>
      <w:r>
        <w:rPr>
          <w:b/>
          <w:bCs/>
        </w:rPr>
        <w:t xml:space="preserve">Incidents</w:t>
      </w:r>
      <w:r>
        <w:t xml:space="preserve"> </w:t>
      </w:r>
      <w:r>
        <w:t xml:space="preserve">output.</w:t>
      </w:r>
    </w:p>
    <w:p>
      <w:pPr>
        <w:pStyle w:val="FirstParagraph"/>
      </w:pPr>
      <w:r>
        <w:t xml:space="preserve">Use the UI's support/export actions when present. If a command is requested by support, run it exactly as provided and return stdout/stderr with secrets removed. Do not send</w:t>
      </w:r>
      <w:r>
        <w:t xml:space="preserve"> </w:t>
      </w:r>
      <w:r>
        <w:rPr>
          <w:rStyle w:val="VerbatimChar"/>
        </w:rPr>
        <w:t xml:space="preserve">identity/private.key</w:t>
      </w:r>
      <w:r>
        <w:t xml:space="preserve">, wallet secrets, SSH private keys, or coordinator tokens.</w:t>
      </w:r>
    </w:p>
    <w:bookmarkEnd w:id="21"/>
    <w:bookmarkEnd w:id="22"/>
    <w:sectPr>
      <w:pgSz w:h="15840" w:orient="portrait" w:w="12240"/>
      <w:pgMar w:bottom="1440" w:footer="720" w:gutter="0" w:header="720" w:left="1800" w:right="180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1"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"/>
      <w:lvlJc w:val="left"/>
      <w:pPr>
        <w:tabs>
          <w:tab w:pos="5760" w:val="num"/>
        </w:tabs>
        <w:ind w:hanging="360" w:left="5760"/>
      </w:pPr>
    </w:lvl>
  </w:abstractNum>
  <w:abstractNum w:abstractNumId="3">
    <w:lvl w:ilvl="0">
      <w:start w:val="1"/>
      <w:numFmt w:val="decimal"/>
      <w:lvlText w:val="%1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"/>
      <w:lvlJc w:val="left"/>
      <w:pPr>
        <w:tabs>
          <w:tab w:pos="5760" w:val="num"/>
        </w:tabs>
        <w:ind w:hanging="360" w:left="5760"/>
      </w:pPr>
    </w:lvl>
  </w:abstractNum>
  <w:abstractNum w:abstractNumId="4"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</w:rPr>
    </w:lvl>
  </w:abstractNum>
  <w:abstractNum w:abstractNumId="5">
    <w:lvl w:ilvl="0">
      <w:start w:val="1"/>
      <w:numFmt w:val="decimal"/>
      <w:lvlText w:val="%1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"/>
      <w:lvlJc w:val="left"/>
      <w:pPr>
        <w:tabs>
          <w:tab w:pos="5760" w:val="num"/>
        </w:tabs>
        <w:ind w:hanging="360" w:left="5760"/>
      </w:pPr>
    </w:lvl>
  </w:abstractNum>
  <w:abstractNum w:abstractNumId="6">
    <w:lvl w:ilvl="0">
      <w:start w:val="1"/>
      <w:numFmt w:val="decimal"/>
      <w:lvlText w:val="%1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"/>
      <w:lvlJc w:val="left"/>
      <w:pPr>
        <w:tabs>
          <w:tab w:pos="5760" w:val="num"/>
        </w:tabs>
        <w:ind w:hanging="360" w:left="5760"/>
      </w:pPr>
    </w:lvl>
  </w:abstractNum>
  <w:abstractNum w:abstractNumId="7">
    <w:lvl w:ilvl="0">
      <w:start w:val="1"/>
      <w:numFmt w:val="decimal"/>
      <w:lvlText w:val="%1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"/>
      <w:lvlJc w:val="left"/>
      <w:pPr>
        <w:tabs>
          <w:tab w:pos="5760" w:val="num"/>
        </w:tabs>
        <w:ind w:hanging="360" w:left="5760"/>
      </w:pPr>
    </w:lvl>
  </w:abstractNum>
  <w:abstractNum w:abstractNumId="8"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"/>
      <w:lvlJc w:val="left"/>
      <w:pPr>
        <w:tabs>
          <w:tab w:pos="1440" w:val="num"/>
        </w:tabs>
        <w:ind w:hanging="360" w:left="1440"/>
      </w:pPr>
    </w:lvl>
    <w:lvl w:ilvl="2">
      <w:start w:val="1"/>
      <w:numFmt w:val="decimal"/>
      <w:lvlText w:val="%3"/>
      <w:lvlJc w:val="left"/>
      <w:pPr>
        <w:tabs>
          <w:tab w:pos="2160" w:val="num"/>
        </w:tabs>
        <w:ind w:hanging="360" w:left="2160"/>
      </w:pPr>
    </w:lvl>
    <w:lvl w:ilvl="3">
      <w:start w:val="1"/>
      <w:numFmt w:val="decimal"/>
      <w:lvlText w:val="%4"/>
      <w:lvlJc w:val="left"/>
      <w:pPr>
        <w:tabs>
          <w:tab w:pos="2880" w:val="num"/>
        </w:tabs>
        <w:ind w:hanging="360" w:left="2880"/>
      </w:pPr>
    </w:lvl>
    <w:lvl w:ilvl="4">
      <w:start w:val="1"/>
      <w:numFmt w:val="decimal"/>
      <w:lvlText w:val="%5"/>
      <w:lvlJc w:val="left"/>
      <w:pPr>
        <w:tabs>
          <w:tab w:pos="3600" w:val="num"/>
        </w:tabs>
        <w:ind w:hanging="360" w:left="3600"/>
      </w:pPr>
    </w:lvl>
    <w:lvl w:ilvl="5">
      <w:start w:val="1"/>
      <w:numFmt w:val="decimal"/>
      <w:lvlText w:val="%6"/>
      <w:lvlJc w:val="left"/>
      <w:pPr>
        <w:tabs>
          <w:tab w:pos="4320" w:val="num"/>
        </w:tabs>
        <w:ind w:hanging="360" w:left="4320"/>
      </w:pPr>
    </w:lvl>
    <w:lvl w:ilvl="6">
      <w:start w:val="1"/>
      <w:numFmt w:val="decimal"/>
      <w:lvlText w:val="%7"/>
      <w:lvlJc w:val="left"/>
      <w:pPr>
        <w:tabs>
          <w:tab w:pos="5040" w:val="num"/>
        </w:tabs>
        <w:ind w:hanging="360" w:left="5040"/>
      </w:pPr>
    </w:lvl>
    <w:lvl w:ilvl="7">
      <w:start w:val="1"/>
      <w:numFmt w:val="decimal"/>
      <w:lvlText w:val="%8"/>
      <w:lvlJc w:val="left"/>
      <w:pPr>
        <w:tabs>
          <w:tab w:pos="5760" w:val="num"/>
        </w:tabs>
        <w:ind w:hanging="360" w:left="5760"/>
      </w:pPr>
    </w:lvl>
  </w:abstractNum>
  <w:abstractNum w:abstractNumId="11">
    <w:lvl w:ilvl="0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120" w:line="240" w:lineRule="atLeast"/>
      </w:pPr>
    </w:pPrDefault>
  </w:docDefaults>
  <w:style w:styleId="Hyperlink" w:type="character">
    <w:name w:val="Hyperlink"/>
    <w:rPr>
      <w:color w:val="0000FF"/>
      <w:u w:val="single"/>
    </w:rPr>
  </w:style>
  <w:style w:styleId="Heading1" w:type="paragraph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styleId="Heading2" w:type="paragraph">
    <w:name w:val="heading 2"/>
    <w:basedOn w:val="Normal"/>
    <w:next w:val="Normal"/>
    <w:uiPriority w:val="9"/>
    <w:unhideWhenUsed/>
    <w:qFormat/>
    <w:pPr>
      <w:keepNext/>
      <w:keepLines/>
      <w:spacing w:after="80" w:before="360"/>
      <w:outlineLvl w:val="1"/>
    </w:pPr>
    <w:rPr>
      <w:b/>
      <w:sz w:val="36"/>
      <w:szCs w:val="36"/>
    </w:rPr>
  </w:style>
  <w:style w:styleId="Heading3" w:type="paragraph">
    <w:name w:val="heading 3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2"/>
    </w:pPr>
    <w:rPr>
      <w:b/>
      <w:sz w:val="28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40" w:before="240"/>
      <w:outlineLvl w:val="3"/>
    </w:pPr>
    <w:rPr>
      <w:b/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40" w:before="220"/>
      <w:outlineLvl w:val="4"/>
    </w:pPr>
    <w:rPr>
      <w:b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40" w:before="200"/>
      <w:outlineLvl w:val="5"/>
    </w:pPr>
    <w:rPr>
      <w:b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eadless-ubuntu-linu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eadless-ubuntu-linu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2026-07-14T02:18:08Z</dcterms:created>
  <dcterms:modified xsi:type="dcterms:W3CDTF">2026-07-14T02:18:08Z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