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D1B69" w:val="clear"/>
            <w:tcMar>
              <w:top w:type="dxa" w:w="720"/>
              <w:left w:type="dxa" w:w="560"/>
              <w:bottom w:type="dxa" w:w="560"/>
              <w:right w:type="dxa" w:w="560"/>
            </w:tcMar>
          </w:tcPr>
          <w:p>
            <w:pPr>
              <w:spacing w:after="60" w:before="0"/>
            </w:pPr>
            <w:r>
              <w:rPr>
                <w:rFonts w:ascii="Calibri" w:cs="Calibri" w:eastAsia="Calibri" w:hAnsi="Calibri"/>
                <w:color w:val="C084FC"/>
                <w:sz w:val="17"/>
                <w:szCs w:val="17"/>
              </w:rPr>
              <w:t xml:space="preserve">SOFTWARE REFERENCE MANUAL</w:t>
            </w:r>
          </w:p>
          <w:p>
            <w:pPr>
              <w:spacing w:after="120" w:before="0"/>
            </w:pPr>
            <w:r>
              <w:rPr>
                <w:rFonts w:ascii="Calibri" w:cs="Calibri" w:eastAsia="Calibri" w:hAnsi="Calibri"/>
                <w:b/>
                <w:bCs/>
                <w:color w:val="C084FC"/>
                <w:sz w:val="20"/>
                <w:szCs w:val="20"/>
              </w:rPr>
              <w:t xml:space="preserve">Synergy Engineering Labs</w:t>
            </w:r>
          </w:p>
          <w:p>
            <w:pPr>
              <w:spacing w:after="80" w:before="0"/>
            </w:pPr>
            <w:r>
              <w:rPr>
                <w:rFonts w:ascii="Calibri" w:cs="Calibri" w:eastAsia="Calibri" w:hAnsi="Calibri"/>
                <w:b/>
                <w:bCs/>
                <w:color w:val="FFFFFF"/>
                <w:sz w:val="64"/>
                <w:szCs w:val="64"/>
              </w:rPr>
              <w:t xml:space="preserve">Aegis </w:t>
            </w:r>
            <w:r>
              <w:rPr>
                <w:rFonts w:ascii="Calibri" w:cs="Calibri" w:eastAsia="Calibri" w:hAnsi="Calibri"/>
                <w:b/>
                <w:bCs/>
                <w:color w:val="C084FC"/>
                <w:sz w:val="64"/>
                <w:szCs w:val="64"/>
              </w:rPr>
              <w:t xml:space="preserve">PQSynQ</w:t>
            </w:r>
          </w:p>
          <w:p>
            <w:pPr>
              <w:spacing w:after="280" w:before="0"/>
            </w:pPr>
            <w:r>
              <w:rPr>
                <w:rFonts w:ascii="Calibri" w:cs="Calibri" w:eastAsia="Calibri" w:hAnsi="Calibri"/>
                <w:color w:val="C4B5FD"/>
                <w:sz w:val="28"/>
                <w:szCs w:val="28"/>
              </w:rPr>
              <w:t xml:space="preserve">SynQ VM &amp; Compiler Post-Quantum Cryptography Facade</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4840"/>
              <w:gridCol w:w="4840"/>
            </w:tblGrid>
            <w:tr>
              <w:tc>
                <w:tcPr>
                  <w:tcW w:type="dxa" w:w="4840"/>
                  <w:tcBorders>
                    <w:top w:val="none" w:color="FFFFFF" w:sz="0"/>
                    <w:left w:val="none" w:color="FFFFFF" w:sz="0"/>
                    <w:bottom w:val="none" w:color="FFFFFF" w:sz="0"/>
                    <w:right w:val="none" w:color="FFFFFF" w:sz="0"/>
                  </w:tcBorders>
                  <w:shd w:fill="2D1B69" w:val="clear"/>
                  <w:tcMar>
                    <w:top w:type="dxa" w:w="60"/>
                    <w:left w:type="dxa" w:w="140"/>
                    <w:bottom w:type="dxa" w:w="60"/>
                    <w:right w:type="dxa" w:w="140"/>
                  </w:tcMar>
                </w:tcPr>
                <w:p>
                  <w:pPr>
                    <w:spacing w:after="20" w:before="0"/>
                  </w:pPr>
                  <w:r>
                    <w:rPr>
                      <w:rFonts w:ascii="Calibri" w:cs="Calibri" w:eastAsia="Calibri" w:hAnsi="Calibri"/>
                      <w:color w:val="C084FC"/>
                      <w:sz w:val="16"/>
                      <w:szCs w:val="16"/>
                    </w:rPr>
                    <w:t xml:space="preserve">MODULE</w:t>
                  </w:r>
                </w:p>
                <w:p>
                  <w:pPr>
                    <w:spacing w:after="0" w:before="0"/>
                  </w:pPr>
                  <w:r>
                    <w:rPr>
                      <w:rFonts w:ascii="Calibri" w:cs="Calibri" w:eastAsia="Calibri" w:hAnsi="Calibri"/>
                      <w:b/>
                      <w:bCs/>
                      <w:color w:val="FFFFFF"/>
                      <w:sz w:val="22"/>
                      <w:szCs w:val="22"/>
                    </w:rPr>
                    <w:t xml:space="preserve">aegis-pqsynq</w:t>
                  </w:r>
                </w:p>
              </w:tc>
              <w:tc>
                <w:tcPr>
                  <w:tcW w:type="dxa" w:w="4840"/>
                  <w:tcBorders>
                    <w:top w:val="none" w:color="FFFFFF" w:sz="0"/>
                    <w:left w:val="none" w:color="FFFFFF" w:sz="0"/>
                    <w:bottom w:val="none" w:color="FFFFFF" w:sz="0"/>
                    <w:right w:val="none" w:color="FFFFFF" w:sz="0"/>
                  </w:tcBorders>
                  <w:shd w:fill="2D1B69" w:val="clear"/>
                  <w:tcMar>
                    <w:top w:type="dxa" w:w="60"/>
                    <w:left w:type="dxa" w:w="140"/>
                    <w:bottom w:type="dxa" w:w="60"/>
                    <w:right w:type="dxa" w:w="140"/>
                  </w:tcMar>
                </w:tcPr>
                <w:p>
                  <w:pPr>
                    <w:spacing w:after="20" w:before="0"/>
                  </w:pPr>
                  <w:r>
                    <w:rPr>
                      <w:rFonts w:ascii="Calibri" w:cs="Calibri" w:eastAsia="Calibri" w:hAnsi="Calibri"/>
                      <w:color w:val="C084FC"/>
                      <w:sz w:val="16"/>
                      <w:szCs w:val="16"/>
                    </w:rPr>
                    <w:t xml:space="preserve">CRATE NAME</w:t>
                  </w:r>
                </w:p>
                <w:p>
                  <w:pPr>
                    <w:spacing w:after="0" w:before="0"/>
                  </w:pPr>
                  <w:r>
                    <w:rPr>
                      <w:rFonts w:ascii="Calibri" w:cs="Calibri" w:eastAsia="Calibri" w:hAnsi="Calibri"/>
                      <w:b/>
                      <w:bCs/>
                      <w:color w:val="FFFFFF"/>
                      <w:sz w:val="22"/>
                      <w:szCs w:val="22"/>
                    </w:rPr>
                    <w:t xml:space="preserve">pqsynq (package: aegis-pqsynq)</w:t>
                  </w:r>
                </w:p>
              </w:tc>
            </w:tr>
            <w:tr>
              <w:tc>
                <w:tcPr>
                  <w:tcW w:type="dxa" w:w="4840"/>
                  <w:tcBorders>
                    <w:top w:val="none" w:color="FFFFFF" w:sz="0"/>
                    <w:left w:val="none" w:color="FFFFFF" w:sz="0"/>
                    <w:bottom w:val="none" w:color="FFFFFF" w:sz="0"/>
                    <w:right w:val="none" w:color="FFFFFF" w:sz="0"/>
                  </w:tcBorders>
                  <w:shd w:fill="2D1B69" w:val="clear"/>
                  <w:tcMar>
                    <w:top w:type="dxa" w:w="60"/>
                    <w:left w:type="dxa" w:w="140"/>
                    <w:bottom w:type="dxa" w:w="60"/>
                    <w:right w:type="dxa" w:w="140"/>
                  </w:tcMar>
                </w:tcPr>
                <w:p>
                  <w:pPr>
                    <w:spacing w:after="20" w:before="0"/>
                  </w:pPr>
                  <w:r>
                    <w:rPr>
                      <w:rFonts w:ascii="Calibri" w:cs="Calibri" w:eastAsia="Calibri" w:hAnsi="Calibri"/>
                      <w:color w:val="C084FC"/>
                      <w:sz w:val="16"/>
                      <w:szCs w:val="16"/>
                    </w:rPr>
                    <w:t xml:space="preserve">TARGET</w:t>
                  </w:r>
                </w:p>
                <w:p>
                  <w:pPr>
                    <w:spacing w:after="0" w:before="0"/>
                  </w:pPr>
                  <w:r>
                    <w:rPr>
                      <w:rFonts w:ascii="Calibri" w:cs="Calibri" w:eastAsia="Calibri" w:hAnsi="Calibri"/>
                      <w:b/>
                      <w:bCs/>
                      <w:color w:val="FFFFFF"/>
                      <w:sz w:val="22"/>
                      <w:szCs w:val="22"/>
                    </w:rPr>
                    <w:t xml:space="preserve">SynQ VM / Compiler Ecosystem</w:t>
                  </w:r>
                </w:p>
              </w:tc>
              <w:tc>
                <w:tcPr>
                  <w:tcW w:type="dxa" w:w="4840"/>
                  <w:tcBorders>
                    <w:top w:val="none" w:color="FFFFFF" w:sz="0"/>
                    <w:left w:val="none" w:color="FFFFFF" w:sz="0"/>
                    <w:bottom w:val="none" w:color="FFFFFF" w:sz="0"/>
                    <w:right w:val="none" w:color="FFFFFF" w:sz="0"/>
                  </w:tcBorders>
                  <w:shd w:fill="2D1B69" w:val="clear"/>
                  <w:tcMar>
                    <w:top w:type="dxa" w:w="60"/>
                    <w:left w:type="dxa" w:w="140"/>
                    <w:bottom w:type="dxa" w:w="60"/>
                    <w:right w:type="dxa" w:w="140"/>
                  </w:tcMar>
                </w:tcPr>
                <w:p>
                  <w:pPr>
                    <w:spacing w:after="20" w:before="0"/>
                  </w:pPr>
                  <w:r>
                    <w:rPr>
                      <w:rFonts w:ascii="Calibri" w:cs="Calibri" w:eastAsia="Calibri" w:hAnsi="Calibri"/>
                      <w:color w:val="C084FC"/>
                      <w:sz w:val="16"/>
                      <w:szCs w:val="16"/>
                    </w:rPr>
                    <w:t xml:space="preserve">STATUS</w:t>
                  </w:r>
                </w:p>
                <w:p>
                  <w:pPr>
                    <w:spacing w:after="0" w:before="0"/>
                  </w:pPr>
                  <w:r>
                    <w:rPr>
                      <w:rFonts w:ascii="Calibri" w:cs="Calibri" w:eastAsia="Calibri" w:hAnsi="Calibri"/>
                      <w:b/>
                      <w:bCs/>
                      <w:color w:val="FFFFFF"/>
                      <w:sz w:val="22"/>
                      <w:szCs w:val="22"/>
                    </w:rPr>
                    <w:t xml:space="preserve">Production</w:t>
                  </w:r>
                </w:p>
              </w:tc>
            </w:tr>
          </w:tbl>
          <w:p>
            <w:pPr>
              <w:spacing w:after="0" w:before="300"/>
            </w:pPr>
            <w:r>
              <w:rPr>
                <w:rFonts w:ascii="Calibri" w:cs="Calibri" w:eastAsia="Calibri" w:hAnsi="Calibri"/>
                <w:color w:val="A78BFA"/>
                <w:sz w:val="17"/>
                <w:szCs w:val="17"/>
              </w:rPr>
              <w:t xml:space="preserve">© 2026 Synergy Engineering Labs  |  Patent Pending  |  Confidential &amp; Proprietary</w:t>
            </w:r>
          </w:p>
        </w:tc>
      </w:tr>
    </w:tbl>
    <w:p>
      <w:pPr>
        <w:sectPr>
          <w:pgSz w:w="12240" w:h="15840" w:orient="portrait"/>
          <w:pgMar w:top="1080" w:right="1080" w:bottom="1080" w:left="1080" w:header="708" w:footer="708" w:gutter="0"/>
          <w:pgNumType/>
          <w:docGrid w:linePitch="360"/>
        </w:sectPr>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21A8" w:sz="20"/>
              <w:bottom w:val="none" w:color="FFFFFF" w:sz="0"/>
              <w:right w:val="none" w:color="FFFFFF" w:sz="0"/>
            </w:tcBorders>
            <w:shd w:fill="F3E8FF" w:val="clear"/>
            <w:tcMar>
              <w:top w:type="dxa" w:w="160"/>
              <w:left w:type="dxa" w:w="220"/>
              <w:bottom w:type="dxa" w:w="160"/>
              <w:right w:type="dxa" w:w="220"/>
            </w:tcMar>
          </w:tcPr>
          <w:p>
            <w:pPr>
              <w:spacing w:after="80" w:before="0"/>
            </w:pPr>
            <w:r>
              <w:rPr>
                <w:rFonts w:ascii="Calibri" w:cs="Calibri" w:eastAsia="Calibri" w:hAnsi="Calibri"/>
                <w:b/>
                <w:bCs/>
                <w:color w:val="6B21A8"/>
                <w:sz w:val="17"/>
                <w:szCs w:val="17"/>
              </w:rPr>
              <w:t xml:space="preserve">LEGAL NOTICE &amp; INTELLECTUAL PROPERTY</w:t>
            </w:r>
          </w:p>
          <w:p>
            <w:pPr>
              <w:spacing w:after="80" w:before="0"/>
            </w:pPr>
            <w:r>
              <w:rPr>
                <w:rFonts w:ascii="Calibri" w:cs="Calibri" w:eastAsia="Calibri" w:hAnsi="Calibri"/>
                <w:b/>
                <w:bCs/>
                <w:color w:val="1E1B4b"/>
                <w:sz w:val="20"/>
                <w:szCs w:val="20"/>
              </w:rPr>
              <w:t xml:space="preserve">Copyright © 2026 Synergy Engineering Labs. All rights reserved. </w:t>
            </w:r>
            <w:r>
              <w:rPr>
                <w:rFonts w:ascii="Calibri" w:cs="Calibri" w:eastAsia="Calibri" w:hAnsi="Calibri"/>
                <w:color w:val="374151"/>
                <w:sz w:val="20"/>
                <w:szCs w:val="20"/>
              </w:rPr>
              <w:t xml:space="preserve">Aegis and all associated software, documentation, algorithms, and designs are the exclusive intellectual property of Synergy Engineering Labs. This software is patent pending.</w:t>
            </w:r>
          </w:p>
          <w:p>
            <w:pPr>
              <w:spacing w:after="0" w:before="0"/>
            </w:pPr>
            <w:r>
              <w:rPr>
                <w:rFonts w:ascii="Calibri" w:cs="Calibri" w:eastAsia="Calibri" w:hAnsi="Calibri"/>
                <w:color w:val="374151"/>
                <w:sz w:val="20"/>
                <w:szCs w:val="20"/>
              </w:rPr>
              <w:t xml:space="preserve">This document is proprietary and confidential. Aegis is not available via public package managers (npm, crates.io, PyPI, etc.). Distribution is exclusively through licensed channels. Unauthorized copying, modification, or distribution is strictly prohibited.</w:t>
            </w:r>
          </w:p>
        </w:tc>
      </w:tr>
    </w:tbl>
    <w:p>
      <w:pPr>
        <w:spacing w:after="60" w:before="60"/>
      </w:pPr>
      <w:r>
        <w:t xml:space="preserve"/>
      </w:r>
    </w:p>
    <w:p>
      <w:pPr>
        <w:pStyle w:val="Heading1"/>
        <w:pBdr>
          <w:bottom w:val="single" w:color="D8B4FE" w:sz="6"/>
        </w:pBdr>
        <w:spacing w:after="160" w:before="320"/>
      </w:pPr>
      <w:r>
        <w:rPr>
          <w:rFonts w:ascii="Calibri" w:cs="Calibri" w:eastAsia="Calibri" w:hAnsi="Calibri"/>
          <w:b/>
          <w:bCs/>
          <w:color w:val="6B21A8"/>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40" w:before="240"/>
      </w:pPr>
      <w:r>
        <w:rPr>
          <w:rFonts w:ascii="Calibri" w:cs="Calibri" w:eastAsia="Calibri" w:hAnsi="Calibri"/>
          <w:b/>
          <w:bCs/>
          <w:color w:val="6B21A8"/>
          <w:sz w:val="17"/>
          <w:szCs w:val="17"/>
        </w:rPr>
        <w:t xml:space="preserve">SECTION 1</w:t>
      </w:r>
    </w:p>
    <w:p>
      <w:pPr>
        <w:pStyle w:val="Heading1"/>
        <w:pBdr>
          <w:bottom w:val="single" w:color="D8B4FE" w:sz="6"/>
        </w:pBdr>
        <w:spacing w:after="160" w:before="320"/>
      </w:pPr>
      <w:r>
        <w:rPr>
          <w:rFonts w:ascii="Calibri" w:cs="Calibri" w:eastAsia="Calibri" w:hAnsi="Calibri"/>
          <w:b/>
          <w:bCs/>
          <w:color w:val="6B21A8"/>
          <w:sz w:val="40"/>
          <w:szCs w:val="40"/>
        </w:rPr>
        <w:t xml:space="preserve">About Aegis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D1B69" w:val="clear"/>
            <w:tcMar>
              <w:top w:type="dxa" w:w="200"/>
              <w:left w:type="dxa" w:w="280"/>
              <w:bottom w:type="dxa" w:w="200"/>
              <w:right w:type="dxa" w:w="280"/>
            </w:tcMar>
          </w:tcPr>
          <w:p>
            <w:pPr>
              <w:spacing w:after="80" w:before="0"/>
            </w:pPr>
            <w:r>
              <w:rPr>
                <w:rFonts w:ascii="Calibri" w:cs="Calibri" w:eastAsia="Calibri" w:hAnsi="Calibri"/>
                <w:b/>
                <w:bCs/>
                <w:color w:val="FFFFFF"/>
                <w:sz w:val="30"/>
                <w:szCs w:val="30"/>
              </w:rPr>
              <w:t xml:space="preserve">  The Quantum-Safe Cryptography Platform</w:t>
            </w:r>
          </w:p>
          <w:p>
            <w:pPr>
              <w:spacing w:after="0" w:before="0"/>
            </w:pPr>
            <w:r>
              <w:rPr>
                <w:rFonts w:ascii="Calibri" w:cs="Calibri" w:eastAsia="Calibri" w:hAnsi="Calibri"/>
                <w:color w:val="C4B5FD"/>
                <w:sz w:val="20"/>
                <w:szCs w:val="20"/>
              </w:rPr>
              <w:t xml:space="preserve">Aegis is Synergy Engineering Labs' patent-pending post-quantum cryptography platform — a production-grade suite delivering all NIST-finalized PQC algorithms across every major computing environment without requiring architectural rebuilds.</w:t>
            </w:r>
          </w:p>
        </w:tc>
      </w:tr>
    </w:tbl>
    <w:p>
      <w:pPr>
        <w:spacing w:after="60" w:before="60"/>
      </w:pPr>
      <w:r>
        <w:t xml:space="preserve"/>
      </w:r>
    </w:p>
    <w:p>
      <w:pPr>
        <w:spacing w:after="100" w:before="80"/>
      </w:pPr>
      <w:r>
        <w:rPr>
          <w:rFonts w:ascii="Calibri" w:cs="Calibri" w:eastAsia="Calibri" w:hAnsi="Calibri"/>
          <w:color w:val="374151"/>
          <w:sz w:val="22"/>
          <w:szCs w:val="22"/>
        </w:rPr>
        <w:t xml:space="preserve">Quantum computers capable of breaking RSA, ECDH, and ECDSA are advancing rapidly. Aegis was engineered to solve the hardest part of that transition: getting quantum-safe cryptography into production without disrupting existing architectures. It implements all six NIST PQC standardized algorithms across 15 platform-specific, independently deliverable modules.</w:t>
      </w:r>
    </w:p>
    <w:p>
      <w:pPr>
        <w:pStyle w:val="Heading2"/>
        <w:spacing w:after="120" w:before="240"/>
      </w:pPr>
      <w:r>
        <w:rPr>
          <w:rFonts w:ascii="Calibri" w:cs="Calibri" w:eastAsia="Calibri" w:hAnsi="Calibri"/>
          <w:b/>
          <w:bCs/>
          <w:color w:val="2D1B69"/>
          <w:sz w:val="32"/>
          <w:szCs w:val="32"/>
        </w:rPr>
        <w:t xml:space="preserve">The Aegis Module Ecosystem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Module</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Target Environment</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Language</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aegis-pqcore</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Foundational C/Rust algorithm corpus</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 + Rust</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aegis-pqrust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Native Rust applications</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aegis-pqwasm</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Browser / WebAssembly</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JavaScript / WASM</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aegis-pqnodejs</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Node.js server-side</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JavaScript / WASM</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aegis-pqpython</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Python applications</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Python (PyO3)</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aegis-pqvm</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Blockchain / Smart Contract VMs</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 / EVM ABI</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aegis-pqwasi</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Edge computing / serverless</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WASI / Rust</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aegis-pqnist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reference + Rust FFI bindings</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 FFI / C</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aegis-pqnostd</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Embedded / bare-metal (no_std)</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 (no_std)</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aegis-pqmobile</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iOS &amp; Android</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Swift / Kotlin</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aegis-pqwear</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Wearable devices</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 / Swift</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aegis-pqsmart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Smart devices / IoT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aegis-pqhw</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Hardware (FPGA / ASIC / HSM)</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 + C</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aegis-pqmavr</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Spatial computing (AR/VR/MR)</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 + AVR C</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aegis-pqsynq</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SynQ VM &amp; compiler</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Rust</w:t>
            </w:r>
          </w:p>
        </w:tc>
      </w:tr>
    </w:tbl>
    <w:p>
      <w:r>
        <w:br w:type="page"/>
      </w:r>
    </w:p>
    <w:p>
      <w:pPr>
        <w:spacing w:after="40" w:before="240"/>
      </w:pPr>
      <w:r>
        <w:rPr>
          <w:rFonts w:ascii="Calibri" w:cs="Calibri" w:eastAsia="Calibri" w:hAnsi="Calibri"/>
          <w:b/>
          <w:bCs/>
          <w:color w:val="6B21A8"/>
          <w:sz w:val="17"/>
          <w:szCs w:val="17"/>
        </w:rPr>
        <w:t xml:space="preserve">SECTION 2</w:t>
      </w:r>
    </w:p>
    <w:p>
      <w:pPr>
        <w:pStyle w:val="Heading1"/>
        <w:pBdr>
          <w:bottom w:val="single" w:color="D8B4FE" w:sz="6"/>
        </w:pBdr>
        <w:spacing w:after="160" w:before="320"/>
      </w:pPr>
      <w:r>
        <w:rPr>
          <w:rFonts w:ascii="Calibri" w:cs="Calibri" w:eastAsia="Calibri" w:hAnsi="Calibri"/>
          <w:b/>
          <w:bCs/>
          <w:color w:val="6B21A8"/>
          <w:sz w:val="40"/>
          <w:szCs w:val="40"/>
        </w:rPr>
        <w:t xml:space="preserve">Module Overview — aegis-pqsynq</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D1B69" w:val="clear"/>
            <w:tcMar>
              <w:top w:type="dxa" w:w="200"/>
              <w:left w:type="dxa" w:w="280"/>
              <w:bottom w:type="dxa" w:w="200"/>
              <w:right w:type="dxa" w:w="280"/>
            </w:tcMar>
          </w:tcPr>
          <w:p>
            <w:pPr>
              <w:spacing w:after="80" w:before="0"/>
            </w:pPr>
            <w:r>
              <w:rPr>
                <w:rFonts w:ascii="Calibri" w:cs="Calibri" w:eastAsia="Calibri" w:hAnsi="Calibri"/>
                <w:b/>
                <w:bCs/>
                <w:color w:val="FFFFFF"/>
                <w:sz w:val="30"/>
                <w:szCs w:val="30"/>
              </w:rPr>
              <w:t xml:space="preserve">  The PQC Facade for the SynQ VM &amp; Compiler</w:t>
            </w:r>
          </w:p>
          <w:p>
            <w:pPr>
              <w:spacing w:after="0" w:before="0"/>
            </w:pPr>
            <w:r>
              <w:rPr>
                <w:rFonts w:ascii="Calibri" w:cs="Calibri" w:eastAsia="Calibri" w:hAnsi="Calibri"/>
                <w:color w:val="C4B5FD"/>
                <w:sz w:val="20"/>
                <w:szCs w:val="20"/>
              </w:rPr>
              <w:t xml:space="preserve">aegis-pqsynq is the SynQ-facing post-quantum cryptography facade crate — the cryptographic backbone of the SynQ VM and compiler ecosystem. SynQ is Synergy Engineering Labs' own smart contract VM and programming language. aegis-pqsynq provides a consistent, trait-based Rust API over the Aegis pqrust algorithm implementations, giving SynQ programs and the SynQ compiler direct access to quantum-safe key encapsulation and digital signatures.</w:t>
            </w:r>
          </w:p>
        </w:tc>
      </w:tr>
    </w:tbl>
    <w:p>
      <w:pPr>
        <w:spacing w:after="60" w:before="60"/>
      </w:pPr>
      <w:r>
        <w:t xml:space="preserve"/>
      </w:r>
    </w:p>
    <w:p>
      <w:pPr>
        <w:spacing w:after="100" w:before="80"/>
      </w:pPr>
      <w:r>
        <w:rPr>
          <w:rFonts w:ascii="Calibri" w:cs="Calibri" w:eastAsia="Calibri" w:hAnsi="Calibri"/>
          <w:color w:val="374151"/>
          <w:sz w:val="22"/>
          <w:szCs w:val="22"/>
        </w:rPr>
        <w:t xml:space="preserve">aegis-pqsynq is intentionally thin: it provides a clean abstraction over the underlying pqrust algorithm crates rather than reimplementing cryptography. Its value is the consistent, versioned, trait-based API that allows SynQ programs to use PQC operations without depending directly on algorithm-specific crates or worrying about which variant is available at a given security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8B4FE" w:sz="4"/>
              <w:left w:val="single" w:color="D8B4FE" w:sz="4"/>
              <w:bottom w:val="single" w:color="D8B4FE" w:sz="4"/>
              <w:right w:val="single" w:color="D8B4FE" w:sz="4"/>
            </w:tcBorders>
            <w:shd w:fill="FFFFFF" w:val="clear"/>
            <w:tcMar>
              <w:top w:type="dxa" w:w="160"/>
              <w:left w:type="dxa" w:w="180"/>
              <w:bottom w:type="dxa" w:w="160"/>
              <w:right w:type="dxa" w:w="180"/>
            </w:tcMar>
            <w:vAlign w:val="top"/>
          </w:tcPr>
          <w:p>
            <w:pPr>
              <w:spacing w:after="60" w:before="0"/>
            </w:pPr>
            <w:r>
              <w:rPr>
                <w:rFonts w:ascii="Calibri" w:cs="Calibri" w:eastAsia="Calibri" w:hAnsi="Calibri"/>
                <w:b/>
                <w:bCs/>
                <w:color w:val="2D1B69"/>
                <w:sz w:val="22"/>
                <w:szCs w:val="22"/>
              </w:rPr>
              <w:t xml:space="preserve">  Trait-Based API</w:t>
            </w:r>
          </w:p>
          <w:p>
            <w:pPr>
              <w:spacing w:after="0" w:before="0"/>
            </w:pPr>
            <w:r>
              <w:rPr>
                <w:rFonts w:ascii="Calibri" w:cs="Calibri" w:eastAsia="Calibri" w:hAnsi="Calibri"/>
                <w:color w:val="6B7280"/>
                <w:sz w:val="20"/>
                <w:szCs w:val="20"/>
              </w:rPr>
              <w:t xml:space="preserve">KeyEncapsulation and DigitalSignature traits provide algorithm-agnostic interfaces. Switch between ML-KEM and HQC-KEM without changing call sites.</w:t>
            </w:r>
          </w:p>
        </w:tc>
        <w:tc>
          <w:tcPr>
            <w:tcW w:type="dxa" w:w="5040"/>
            <w:tcBorders>
              <w:top w:val="single" w:color="D8B4FE" w:sz="4"/>
              <w:left w:val="single" w:color="D8B4FE" w:sz="4"/>
              <w:bottom w:val="single" w:color="D8B4FE" w:sz="4"/>
              <w:right w:val="single" w:color="D8B4FE" w:sz="4"/>
            </w:tcBorders>
            <w:shd w:fill="FFFFFF" w:val="clear"/>
            <w:tcMar>
              <w:top w:type="dxa" w:w="160"/>
              <w:left w:type="dxa" w:w="180"/>
              <w:bottom w:type="dxa" w:w="160"/>
              <w:right w:type="dxa" w:w="180"/>
            </w:tcMar>
            <w:vAlign w:val="top"/>
          </w:tcPr>
          <w:p>
            <w:pPr>
              <w:spacing w:after="60" w:before="0"/>
            </w:pPr>
            <w:r>
              <w:rPr>
                <w:rFonts w:ascii="Calibri" w:cs="Calibri" w:eastAsia="Calibri" w:hAnsi="Calibri"/>
                <w:b/>
                <w:bCs/>
                <w:color w:val="2D1B69"/>
                <w:sz w:val="22"/>
                <w:szCs w:val="22"/>
              </w:rPr>
              <w:t xml:space="preserve">  Domain Separation</w:t>
            </w:r>
          </w:p>
          <w:p>
            <w:pPr>
              <w:spacing w:after="0" w:before="0"/>
            </w:pPr>
            <w:r>
              <w:rPr>
                <w:rFonts w:ascii="Calibri" w:cs="Calibri" w:eastAsia="Calibri" w:hAnsi="Calibri"/>
                <w:color w:val="6B7280"/>
                <w:sz w:val="20"/>
                <w:szCs w:val="20"/>
              </w:rPr>
              <w:t xml:space="preserve">sign_ctx / verify_ctx with context bytes prevents signature reuse across SynQ contract contexts — a critical security property for smart contracts.</w:t>
            </w:r>
          </w:p>
        </w:tc>
      </w:tr>
      <w:tr>
        <w:tc>
          <w:tcPr>
            <w:tcW w:type="dxa" w:w="5040"/>
            <w:tcBorders>
              <w:top w:val="single" w:color="D8B4FE" w:sz="4"/>
              <w:left w:val="single" w:color="D8B4FE" w:sz="4"/>
              <w:bottom w:val="single" w:color="D8B4FE" w:sz="4"/>
              <w:right w:val="single" w:color="D8B4FE" w:sz="4"/>
            </w:tcBorders>
            <w:shd w:fill="FFFFFF" w:val="clear"/>
            <w:tcMar>
              <w:top w:type="dxa" w:w="160"/>
              <w:left w:type="dxa" w:w="180"/>
              <w:bottom w:type="dxa" w:w="160"/>
              <w:right w:type="dxa" w:w="180"/>
            </w:tcMar>
            <w:vAlign w:val="top"/>
          </w:tcPr>
          <w:p>
            <w:pPr>
              <w:spacing w:after="60" w:before="0"/>
            </w:pPr>
            <w:r>
              <w:rPr>
                <w:rFonts w:ascii="Calibri" w:cs="Calibri" w:eastAsia="Calibri" w:hAnsi="Calibri"/>
                <w:b/>
                <w:bCs/>
                <w:color w:val="2D1B69"/>
                <w:sz w:val="22"/>
                <w:szCs w:val="22"/>
              </w:rPr>
              <w:t xml:space="preserve">  WASM32 Compatible</w:t>
            </w:r>
          </w:p>
          <w:p>
            <w:pPr>
              <w:spacing w:after="0" w:before="0"/>
            </w:pPr>
            <w:r>
              <w:rPr>
                <w:rFonts w:ascii="Calibri" w:cs="Calibri" w:eastAsia="Calibri" w:hAnsi="Calibri"/>
                <w:color w:val="6B7280"/>
                <w:sz w:val="20"/>
                <w:szCs w:val="20"/>
              </w:rPr>
              <w:t xml:space="preserve">Compiles to wasm32-unknown-unknown with --no-default-features. Compatible with SynQ's WASM compilation target for portable contract code.</w:t>
            </w:r>
          </w:p>
        </w:tc>
        <w:tc>
          <w:tcPr>
            <w:tcW w:type="dxa" w:w="5040"/>
            <w:tcBorders>
              <w:top w:val="single" w:color="D8B4FE" w:sz="4"/>
              <w:left w:val="single" w:color="D8B4FE" w:sz="4"/>
              <w:bottom w:val="single" w:color="D8B4FE" w:sz="4"/>
              <w:right w:val="single" w:color="D8B4FE" w:sz="4"/>
            </w:tcBorders>
            <w:shd w:fill="FFFFFF" w:val="clear"/>
            <w:tcMar>
              <w:top w:type="dxa" w:w="160"/>
              <w:left w:type="dxa" w:w="180"/>
              <w:bottom w:type="dxa" w:w="160"/>
              <w:right w:type="dxa" w:w="180"/>
            </w:tcMar>
            <w:vAlign w:val="top"/>
          </w:tcPr>
          <w:p>
            <w:pPr>
              <w:spacing w:after="60" w:before="0"/>
            </w:pPr>
            <w:r>
              <w:rPr>
                <w:rFonts w:ascii="Calibri" w:cs="Calibri" w:eastAsia="Calibri" w:hAnsi="Calibri"/>
                <w:b/>
                <w:bCs/>
                <w:color w:val="2D1B69"/>
                <w:sz w:val="22"/>
                <w:szCs w:val="22"/>
              </w:rPr>
              <w:t xml:space="preserve">  SynQ Contract Integration</w:t>
            </w:r>
          </w:p>
          <w:p>
            <w:pPr>
              <w:spacing w:after="0" w:before="0"/>
            </w:pPr>
            <w:r>
              <w:rPr>
                <w:rFonts w:ascii="Calibri" w:cs="Calibri" w:eastAsia="Calibri" w:hAnsi="Calibri"/>
                <w:color w:val="6B7280"/>
                <w:sz w:val="20"/>
                <w:szCs w:val="20"/>
              </w:rPr>
              <w:t xml:space="preserve">SynQ programs use pqsynq to sign transactions, verify attestations, and establish quantum-safe channels between VM participants.</w:t>
            </w:r>
          </w:p>
        </w:tc>
      </w:tr>
      <w:tr>
        <w:tc>
          <w:tcPr>
            <w:tcW w:type="dxa" w:w="5040"/>
            <w:tcBorders>
              <w:top w:val="single" w:color="D8B4FE" w:sz="4"/>
              <w:left w:val="single" w:color="D8B4FE" w:sz="4"/>
              <w:bottom w:val="single" w:color="D8B4FE" w:sz="4"/>
              <w:right w:val="single" w:color="D8B4FE" w:sz="4"/>
            </w:tcBorders>
            <w:shd w:fill="FFFFFF" w:val="clear"/>
            <w:tcMar>
              <w:top w:type="dxa" w:w="160"/>
              <w:left w:type="dxa" w:w="180"/>
              <w:bottom w:type="dxa" w:w="160"/>
              <w:right w:type="dxa" w:w="180"/>
            </w:tcMar>
            <w:vAlign w:val="top"/>
          </w:tcPr>
          <w:p>
            <w:pPr>
              <w:spacing w:after="60" w:before="0"/>
            </w:pPr>
            <w:r>
              <w:rPr>
                <w:rFonts w:ascii="Calibri" w:cs="Calibri" w:eastAsia="Calibri" w:hAnsi="Calibri"/>
                <w:b/>
                <w:bCs/>
                <w:color w:val="2D1B69"/>
                <w:sz w:val="22"/>
                <w:szCs w:val="22"/>
              </w:rPr>
              <w:t xml:space="preserve">  Feature-Gated HQC</w:t>
            </w:r>
          </w:p>
          <w:p>
            <w:pPr>
              <w:spacing w:after="0" w:before="0"/>
            </w:pPr>
            <w:r>
              <w:rPr>
                <w:rFonts w:ascii="Calibri" w:cs="Calibri" w:eastAsia="Calibri" w:hAnsi="Calibri"/>
                <w:color w:val="6B7280"/>
                <w:sz w:val="20"/>
                <w:szCs w:val="20"/>
              </w:rPr>
              <w:t xml:space="preserve">HQC-KEM available as optional feature. SynQ contracts can opt in to the alternate KEM without impacting the default build.</w:t>
            </w:r>
          </w:p>
        </w:tc>
        <w:tc>
          <w:tcPr>
            <w:tcW w:type="dxa" w:w="5040"/>
            <w:tcBorders>
              <w:top w:val="single" w:color="D8B4FE" w:sz="4"/>
              <w:left w:val="single" w:color="D8B4FE" w:sz="4"/>
              <w:bottom w:val="single" w:color="D8B4FE" w:sz="4"/>
              <w:right w:val="single" w:color="D8B4FE" w:sz="4"/>
            </w:tcBorders>
            <w:shd w:fill="FFFFFF" w:val="clear"/>
            <w:tcMar>
              <w:top w:type="dxa" w:w="160"/>
              <w:left w:type="dxa" w:w="180"/>
              <w:bottom w:type="dxa" w:w="160"/>
              <w:right w:type="dxa" w:w="180"/>
            </w:tcMar>
            <w:vAlign w:val="top"/>
          </w:tcPr>
          <w:p>
            <w:pPr>
              <w:spacing w:after="60" w:before="0"/>
            </w:pPr>
            <w:r>
              <w:rPr>
                <w:rFonts w:ascii="Calibri" w:cs="Calibri" w:eastAsia="Calibri" w:hAnsi="Calibri"/>
                <w:b/>
                <w:bCs/>
                <w:color w:val="2D1B69"/>
                <w:sz w:val="22"/>
                <w:szCs w:val="22"/>
              </w:rPr>
              <w:t xml:space="preserve">  Strict Quality Gates</w:t>
            </w:r>
          </w:p>
          <w:p>
            <w:pPr>
              <w:spacing w:after="0" w:before="0"/>
            </w:pPr>
            <w:r>
              <w:rPr>
                <w:rFonts w:ascii="Calibri" w:cs="Calibri" w:eastAsia="Calibri" w:hAnsi="Calibri"/>
                <w:color w:val="6B7280"/>
                <w:sz w:val="20"/>
                <w:szCs w:val="20"/>
              </w:rPr>
              <w:t xml:space="preserve">cargo clippy -p aegis-pqsynq --all-targets --all-features --no-deps --locked -- -D warnings clean. All tests passing.</w:t>
            </w:r>
          </w:p>
        </w:tc>
      </w:tr>
    </w:tbl>
    <w:p>
      <w:r>
        <w:br w:type="page"/>
      </w:r>
    </w:p>
    <w:p>
      <w:pPr>
        <w:spacing w:after="40" w:before="240"/>
      </w:pPr>
      <w:r>
        <w:rPr>
          <w:rFonts w:ascii="Calibri" w:cs="Calibri" w:eastAsia="Calibri" w:hAnsi="Calibri"/>
          <w:b/>
          <w:bCs/>
          <w:color w:val="6B21A8"/>
          <w:sz w:val="17"/>
          <w:szCs w:val="17"/>
        </w:rPr>
        <w:t xml:space="preserve">SECTION 3</w:t>
      </w:r>
    </w:p>
    <w:p>
      <w:pPr>
        <w:pStyle w:val="Heading1"/>
        <w:pBdr>
          <w:bottom w:val="single" w:color="D8B4FE" w:sz="6"/>
        </w:pBdr>
        <w:spacing w:after="160" w:before="320"/>
      </w:pPr>
      <w:r>
        <w:rPr>
          <w:rFonts w:ascii="Calibri" w:cs="Calibri" w:eastAsia="Calibri" w:hAnsi="Calibri"/>
          <w:b/>
          <w:bCs/>
          <w:color w:val="6B21A8"/>
          <w:sz w:val="40"/>
          <w:szCs w:val="40"/>
        </w:rPr>
        <w:t xml:space="preserve">Technical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aegis-pqsynq/pqsynq/</w:t>
            </w:r>
          </w:p>
          <w:p>
            <w:pPr>
              <w:spacing w:after="20" w:before="0"/>
            </w:pPr>
            <w:r>
              <w:rPr>
                <w:rFonts w:ascii="Courier New" w:cs="Courier New" w:eastAsia="Courier New" w:hAnsi="Courier New"/>
                <w:color w:val="E2E8F0"/>
                <w:sz w:val="18"/>
                <w:szCs w:val="18"/>
              </w:rPr>
              <w:t xml:space="preserve">├── src/</w:t>
            </w:r>
          </w:p>
          <w:p>
            <w:pPr>
              <w:spacing w:after="20" w:before="0"/>
            </w:pPr>
            <w:r>
              <w:rPr>
                <w:rFonts w:ascii="Courier New" w:cs="Courier New" w:eastAsia="Courier New" w:hAnsi="Courier New"/>
                <w:color w:val="E2E8F0"/>
                <w:sz w:val="18"/>
                <w:szCs w:val="18"/>
              </w:rPr>
              <w:t xml:space="preserve">│   ├── lib.rs          # Crate root, feature declarations, re-exports</w:t>
            </w:r>
          </w:p>
          <w:p>
            <w:pPr>
              <w:spacing w:after="20" w:before="0"/>
            </w:pPr>
            <w:r>
              <w:rPr>
                <w:rFonts w:ascii="Courier New" w:cs="Courier New" w:eastAsia="Courier New" w:hAnsi="Courier New"/>
                <w:color w:val="E2E8F0"/>
                <w:sz w:val="18"/>
                <w:szCs w:val="18"/>
              </w:rPr>
              <w:t xml:space="preserve">│   ├── traits.rs       # KeyEncapsulation + DigitalSignature traits</w:t>
            </w:r>
          </w:p>
          <w:p>
            <w:pPr>
              <w:spacing w:after="20" w:before="0"/>
            </w:pPr>
            <w:r>
              <w:rPr>
                <w:rFonts w:ascii="Courier New" w:cs="Courier New" w:eastAsia="Courier New" w:hAnsi="Courier New"/>
                <w:color w:val="E2E8F0"/>
                <w:sz w:val="18"/>
                <w:szCs w:val="18"/>
              </w:rPr>
              <w:t xml:space="preserve">│   ├── kem.rs          # Kem enum + ML-KEM / HQC-KEM implementations</w:t>
            </w:r>
          </w:p>
          <w:p>
            <w:pPr>
              <w:spacing w:after="20" w:before="0"/>
            </w:pPr>
            <w:r>
              <w:rPr>
                <w:rFonts w:ascii="Courier New" w:cs="Courier New" w:eastAsia="Courier New" w:hAnsi="Courier New"/>
                <w:color w:val="E2E8F0"/>
                <w:sz w:val="18"/>
                <w:szCs w:val="18"/>
              </w:rPr>
              <w:t xml:space="preserve">│   ├── sign.rs         # Sign enum + ML-DSA / FN-DSA implementations</w:t>
            </w:r>
          </w:p>
          <w:p>
            <w:pPr>
              <w:spacing w:after="20" w:before="0"/>
            </w:pPr>
            <w:r>
              <w:rPr>
                <w:rFonts w:ascii="Courier New" w:cs="Courier New" w:eastAsia="Courier New" w:hAnsi="Courier New"/>
                <w:color w:val="E2E8F0"/>
                <w:sz w:val="18"/>
                <w:szCs w:val="18"/>
              </w:rPr>
              <w:t xml:space="preserve">│   ├── error.rs        # PqcError type (non-panicking, std::error::Error)</w:t>
            </w:r>
          </w:p>
          <w:p>
            <w:pPr>
              <w:spacing w:after="20" w:before="0"/>
            </w:pPr>
            <w:r>
              <w:rPr>
                <w:rFonts w:ascii="Courier New" w:cs="Courier New" w:eastAsia="Courier New" w:hAnsi="Courier New"/>
                <w:color w:val="E2E8F0"/>
                <w:sz w:val="18"/>
                <w:szCs w:val="18"/>
              </w:rPr>
              <w:t xml:space="preserve">│   └── utils.rs        # Context encoding, key serialization helpers</w:t>
            </w:r>
          </w:p>
          <w:p>
            <w:pPr>
              <w:spacing w:after="20" w:before="0"/>
            </w:pPr>
            <w:r>
              <w:rPr>
                <w:rFonts w:ascii="Courier New" w:cs="Courier New" w:eastAsia="Courier New" w:hAnsi="Courier New"/>
                <w:color w:val="E2E8F0"/>
                <w:sz w:val="18"/>
                <w:szCs w:val="18"/>
              </w:rPr>
              <w:t xml:space="preserve">├── tests/</w:t>
            </w:r>
          </w:p>
          <w:p>
            <w:pPr>
              <w:spacing w:after="20" w:before="0"/>
            </w:pPr>
            <w:r>
              <w:rPr>
                <w:rFonts w:ascii="Courier New" w:cs="Courier New" w:eastAsia="Courier New" w:hAnsi="Courier New"/>
                <w:color w:val="E2E8F0"/>
                <w:sz w:val="18"/>
                <w:szCs w:val="18"/>
              </w:rPr>
              <w:t xml:space="preserve">│   └── integration.rs  # Full round-trip tests for all supported variants</w:t>
            </w:r>
          </w:p>
          <w:p>
            <w:pPr>
              <w:spacing w:after="20" w:before="0"/>
            </w:pPr>
            <w:r>
              <w:rPr>
                <w:rFonts w:ascii="Courier New" w:cs="Courier New" w:eastAsia="Courier New" w:hAnsi="Courier New"/>
                <w:color w:val="E2E8F0"/>
                <w:sz w:val="18"/>
                <w:szCs w:val="18"/>
              </w:rPr>
              <w:t xml:space="preserve">└── Cargo.toml</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Canonical import for SynQ workspace</w:t>
            </w:r>
          </w:p>
          <w:p>
            <w:pPr>
              <w:spacing w:after="20" w:before="0"/>
            </w:pPr>
            <w:r>
              <w:rPr>
                <w:rFonts w:ascii="Courier New" w:cs="Courier New" w:eastAsia="Courier New" w:hAnsi="Courier New"/>
                <w:color w:val="E2E8F0"/>
                <w:sz w:val="18"/>
                <w:szCs w:val="18"/>
              </w:rPr>
              <w:t xml:space="preserve"># Cargo.toml of SynQ VM / compiler crate:</w:t>
            </w:r>
          </w:p>
          <w:p>
            <w:pPr>
              <w:spacing w:after="20" w:before="0"/>
            </w:pPr>
            <w:r>
              <w:rPr>
                <w:rFonts w:ascii="Courier New" w:cs="Courier New" w:eastAsia="Courier New" w:hAnsi="Courier New"/>
                <w:color w:val="E2E8F0"/>
                <w:sz w:val="18"/>
                <w:szCs w:val="18"/>
              </w:rPr>
              <w:t xml:space="preserve">[dependencies]</w:t>
            </w:r>
          </w:p>
          <w:p>
            <w:pPr>
              <w:spacing w:after="20" w:before="0"/>
            </w:pPr>
            <w:r>
              <w:rPr>
                <w:rFonts w:ascii="Courier New" w:cs="Courier New" w:eastAsia="Courier New" w:hAnsi="Courier New"/>
                <w:color w:val="E2E8F0"/>
                <w:sz w:val="18"/>
                <w:szCs w:val="18"/>
              </w:rPr>
              <w:t xml:space="preserve">pqsynq = { package = "aegis-pqsynq", path = "../aegis-pqsynq/pqsynq" }</w:t>
            </w:r>
          </w:p>
        </w:tc>
      </w:tr>
    </w:tbl>
    <w:p>
      <w:pPr>
        <w:pStyle w:val="Heading2"/>
        <w:spacing w:after="120" w:before="240"/>
      </w:pPr>
      <w:r>
        <w:rPr>
          <w:rFonts w:ascii="Calibri" w:cs="Calibri" w:eastAsia="Calibri" w:hAnsi="Calibri"/>
          <w:b/>
          <w:bCs/>
          <w:color w:val="2D1B69"/>
          <w:sz w:val="32"/>
          <w:szCs w:val="32"/>
        </w:rPr>
        <w:t xml:space="preserve">Key Design: Domain Separation via Context</w:t>
      </w:r>
    </w:p>
    <w:p>
      <w:pPr>
        <w:spacing w:after="100" w:before="80"/>
      </w:pPr>
      <w:r>
        <w:rPr>
          <w:rFonts w:ascii="Calibri" w:cs="Calibri" w:eastAsia="Calibri" w:hAnsi="Calibri"/>
          <w:color w:val="374151"/>
          <w:sz w:val="22"/>
          <w:szCs w:val="22"/>
        </w:rPr>
        <w:t xml:space="preserve">SynQ smart contracts sign many different types of data: transaction payloads, governance votes, state attestations, and inter-contract messages. Without domain separation, a signature on one type could be replayed as a valid signature on another — a serious vulnerability in multi-contract systems.</w:t>
      </w:r>
    </w:p>
    <w:p>
      <w:pPr>
        <w:spacing w:after="100" w:before="80"/>
      </w:pPr>
      <w:r>
        <w:rPr>
          <w:rFonts w:ascii="Calibri" w:cs="Calibri" w:eastAsia="Calibri" w:hAnsi="Calibri"/>
          <w:color w:val="374151"/>
          <w:sz w:val="22"/>
          <w:szCs w:val="22"/>
        </w:rPr>
        <w:t xml:space="preserve">aegis-pqsynq addresses this with sign_ctx / verify_ctx operations that accept a context byte slice. The context bytes are mixed into the signature computation (per ML-DSA contextual signing in FIPS 204), so a signature created with context b"synq-tx-v1" cannot be verified with context b"synq-vote-v1".</w:t>
      </w:r>
    </w:p>
    <w:p>
      <w:pPr>
        <w:pStyle w:val="Heading2"/>
        <w:spacing w:after="120" w:before="240"/>
      </w:pPr>
      <w:r>
        <w:rPr>
          <w:rFonts w:ascii="Calibri" w:cs="Calibri" w:eastAsia="Calibri" w:hAnsi="Calibri"/>
          <w:b/>
          <w:bCs/>
          <w:color w:val="2D1B69"/>
          <w:sz w:val="32"/>
          <w:szCs w:val="32"/>
        </w:rPr>
        <w:t xml:space="preserve">Feature 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Feature</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Enables</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Default</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std</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Standard library (heap, I/O)</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On</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ML-KEM-512 / 768 / 1024</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On</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ML-DSA-44 / 65 / 87</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On</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FN-DSA-512 / 1024</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On</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HQC-KEM-128 / 192 / 256</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Off (optional)</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full</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All of the above</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Off</w:t>
            </w:r>
          </w:p>
        </w:tc>
      </w:tr>
    </w:tbl>
    <w:p>
      <w:r>
        <w:br w:type="page"/>
      </w:r>
    </w:p>
    <w:p>
      <w:pPr>
        <w:spacing w:after="40" w:before="240"/>
      </w:pPr>
      <w:r>
        <w:rPr>
          <w:rFonts w:ascii="Calibri" w:cs="Calibri" w:eastAsia="Calibri" w:hAnsi="Calibri"/>
          <w:b/>
          <w:bCs/>
          <w:color w:val="6B21A8"/>
          <w:sz w:val="17"/>
          <w:szCs w:val="17"/>
        </w:rPr>
        <w:t xml:space="preserve">SECTION 4</w:t>
      </w:r>
    </w:p>
    <w:p>
      <w:pPr>
        <w:pStyle w:val="Heading1"/>
        <w:pBdr>
          <w:bottom w:val="single" w:color="D8B4FE" w:sz="6"/>
        </w:pBdr>
        <w:spacing w:after="160" w:before="320"/>
      </w:pPr>
      <w:r>
        <w:rPr>
          <w:rFonts w:ascii="Calibri" w:cs="Calibri" w:eastAsia="Calibri" w:hAnsi="Calibri"/>
          <w:b/>
          <w:bCs/>
          <w:color w:val="6B21A8"/>
          <w:sz w:val="40"/>
          <w:szCs w:val="40"/>
        </w:rPr>
        <w:t xml:space="preserve">Supported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Algorithm</w:t>
            </w:r>
          </w:p>
        </w:tc>
        <w:tc>
          <w:tcPr>
            <w:tcW w:type="dxa" w:w="2016"/>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Type</w:t>
            </w:r>
          </w:p>
        </w:tc>
        <w:tc>
          <w:tcPr>
            <w:tcW w:type="dxa" w:w="2016"/>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Variants</w:t>
            </w:r>
          </w:p>
        </w:tc>
        <w:tc>
          <w:tcPr>
            <w:tcW w:type="dxa" w:w="2016"/>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NIST Standard</w:t>
            </w:r>
          </w:p>
        </w:tc>
        <w:tc>
          <w:tcPr>
            <w:tcW w:type="dxa" w:w="2016"/>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Status</w:t>
            </w:r>
          </w:p>
        </w:tc>
      </w:tr>
      <w:tr>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ML-KEM-512 / 768 / 1024</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203</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Complete</w:t>
            </w:r>
          </w:p>
        </w:tc>
      </w:tr>
      <w:tr>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Signature</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ML-DSA-44 / 65 / 87</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204</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Complete</w:t>
            </w:r>
          </w:p>
        </w:tc>
      </w:tr>
      <w:tr>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Signature</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FN-DSA-512 / 1024</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206</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Complete</w:t>
            </w:r>
          </w:p>
        </w:tc>
      </w:tr>
      <w:tr>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SLH-DSA</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Signature</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12 variants (SHA2 + SHAKE)</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205</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Complete</w:t>
            </w:r>
          </w:p>
        </w:tc>
      </w:tr>
      <w:tr>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HQC-128 / 192 / 256</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207</w:t>
            </w:r>
          </w:p>
        </w:tc>
        <w:tc>
          <w:tcPr>
            <w:tcW w:type="dxa" w:w="2016"/>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Complete</w:t>
            </w:r>
          </w:p>
        </w:tc>
      </w:tr>
      <w:tr>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CMCE-KEM</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348864, 460896, 6688128</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208</w:t>
            </w:r>
          </w:p>
        </w:tc>
        <w:tc>
          <w:tcPr>
            <w:tcW w:type="dxa" w:w="2016"/>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Feature-gated</w:t>
            </w:r>
          </w:p>
        </w:tc>
      </w:tr>
    </w:tbl>
    <w:p>
      <w:pPr>
        <w:pStyle w:val="Heading2"/>
        <w:spacing w:after="120" w:before="240"/>
      </w:pPr>
      <w:r>
        <w:rPr>
          <w:rFonts w:ascii="Calibri" w:cs="Calibri" w:eastAsia="Calibri" w:hAnsi="Calibri"/>
          <w:b/>
          <w:bCs/>
          <w:color w:val="2D1B69"/>
          <w:sz w:val="32"/>
          <w:szCs w:val="32"/>
        </w:rPr>
        <w:t xml:space="preserve">SynQ Contract Algorithm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SynQ Contract Use Case</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Recommended Algorithm</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Rationale</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Transaction signing</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ML-DSA-65</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Level 3 security, compact enough for on-chain storage</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Governance vote signing</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ML-DSA-44</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Level 2 sufficient for governance; smaller signatures</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Inter-contract key exchange</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ML-KEM-768</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Level 3 session establishment, 1088-byte ciphertext</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Long-term identity signatures</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SLH-DSA-SHA2-128F</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Stateless — no key state to manage in smart contract</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High-throughput message signing</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FN-DSA-512</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Compact signatures minimize on-chain storage costs</w:t>
            </w:r>
          </w:p>
        </w:tc>
      </w:tr>
    </w:tbl>
    <w:p>
      <w:r>
        <w:br w:type="page"/>
      </w:r>
    </w:p>
    <w:p>
      <w:pPr>
        <w:spacing w:after="40" w:before="240"/>
      </w:pPr>
      <w:r>
        <w:rPr>
          <w:rFonts w:ascii="Calibri" w:cs="Calibri" w:eastAsia="Calibri" w:hAnsi="Calibri"/>
          <w:b/>
          <w:bCs/>
          <w:color w:val="6B21A8"/>
          <w:sz w:val="17"/>
          <w:szCs w:val="17"/>
        </w:rPr>
        <w:t xml:space="preserve">SECTION 5</w:t>
      </w:r>
    </w:p>
    <w:p>
      <w:pPr>
        <w:pStyle w:val="Heading1"/>
        <w:pBdr>
          <w:bottom w:val="single" w:color="D8B4FE" w:sz="6"/>
        </w:pBdr>
        <w:spacing w:after="160" w:before="320"/>
      </w:pPr>
      <w:r>
        <w:rPr>
          <w:rFonts w:ascii="Calibri" w:cs="Calibri" w:eastAsia="Calibri" w:hAnsi="Calibri"/>
          <w:b/>
          <w:bCs/>
          <w:color w:val="6B21A8"/>
          <w:sz w:val="40"/>
          <w:szCs w:val="40"/>
        </w:rPr>
        <w:t xml:space="preserve">SynQ Integration Without Rebuilding</w:t>
      </w:r>
    </w:p>
    <w:p>
      <w:pPr>
        <w:pStyle w:val="Heading2"/>
        <w:spacing w:after="120" w:before="240"/>
      </w:pPr>
      <w:r>
        <w:rPr>
          <w:rFonts w:ascii="Calibri" w:cs="Calibri" w:eastAsia="Calibri" w:hAnsi="Calibri"/>
          <w:b/>
          <w:bCs/>
          <w:color w:val="2D1B69"/>
          <w:sz w:val="32"/>
          <w:szCs w:val="32"/>
        </w:rPr>
        <w:t xml:space="preserve">Basic Usage — Kem and Sign Factories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use pqsynq::{DigitalSignature, Kem, KeyEncapsulation, Sign};</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Key Encapsulation — ML-KEM-768</w:t>
            </w:r>
          </w:p>
          <w:p>
            <w:pPr>
              <w:spacing w:after="20" w:before="0"/>
            </w:pPr>
            <w:r>
              <w:rPr>
                <w:rFonts w:ascii="Courier New" w:cs="Courier New" w:eastAsia="Courier New" w:hAnsi="Courier New"/>
                <w:color w:val="E2E8F0"/>
                <w:sz w:val="18"/>
                <w:szCs w:val="18"/>
              </w:rPr>
              <w:t xml:space="preserve">let kem = Kem::mlkem768();</w:t>
            </w:r>
          </w:p>
          <w:p>
            <w:pPr>
              <w:spacing w:after="20" w:before="0"/>
            </w:pPr>
            <w:r>
              <w:rPr>
                <w:rFonts w:ascii="Courier New" w:cs="Courier New" w:eastAsia="Courier New" w:hAnsi="Courier New"/>
                <w:color w:val="E2E8F0"/>
                <w:sz w:val="18"/>
                <w:szCs w:val="18"/>
              </w:rPr>
              <w:t xml:space="preserve">let (pk, sk) = kem.keygen()?;</w:t>
            </w:r>
          </w:p>
          <w:p>
            <w:pPr>
              <w:spacing w:after="20" w:before="0"/>
            </w:pPr>
            <w:r>
              <w:rPr>
                <w:rFonts w:ascii="Courier New" w:cs="Courier New" w:eastAsia="Courier New" w:hAnsi="Courier New"/>
                <w:color w:val="E2E8F0"/>
                <w:sz w:val="18"/>
                <w:szCs w:val="18"/>
              </w:rPr>
              <w:t xml:space="preserve">let (ct, ss1) = kem.encapsulate(&amp;pk)?;</w:t>
            </w:r>
          </w:p>
          <w:p>
            <w:pPr>
              <w:spacing w:after="20" w:before="0"/>
            </w:pPr>
            <w:r>
              <w:rPr>
                <w:rFonts w:ascii="Courier New" w:cs="Courier New" w:eastAsia="Courier New" w:hAnsi="Courier New"/>
                <w:color w:val="E2E8F0"/>
                <w:sz w:val="18"/>
                <w:szCs w:val="18"/>
              </w:rPr>
              <w:t xml:space="preserve">let ss2 = kem.decapsulate(&amp;ct, &amp;sk)?;</w:t>
            </w:r>
          </w:p>
          <w:p>
            <w:pPr>
              <w:spacing w:after="20" w:before="0"/>
            </w:pPr>
            <w:r>
              <w:rPr>
                <w:rFonts w:ascii="Courier New" w:cs="Courier New" w:eastAsia="Courier New" w:hAnsi="Courier New"/>
                <w:color w:val="E2E8F0"/>
                <w:sz w:val="18"/>
                <w:szCs w:val="18"/>
              </w:rPr>
              <w:t xml:space="preserve">assert_eq!(ss1, ss2);</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Digital Signature — ML-DSA-65</w:t>
            </w:r>
          </w:p>
          <w:p>
            <w:pPr>
              <w:spacing w:after="20" w:before="0"/>
            </w:pPr>
            <w:r>
              <w:rPr>
                <w:rFonts w:ascii="Courier New" w:cs="Courier New" w:eastAsia="Courier New" w:hAnsi="Courier New"/>
                <w:color w:val="E2E8F0"/>
                <w:sz w:val="18"/>
                <w:szCs w:val="18"/>
              </w:rPr>
              <w:t xml:space="preserve">let signer = Sign::mldsa65();</w:t>
            </w:r>
          </w:p>
          <w:p>
            <w:pPr>
              <w:spacing w:after="20" w:before="0"/>
            </w:pPr>
            <w:r>
              <w:rPr>
                <w:rFonts w:ascii="Courier New" w:cs="Courier New" w:eastAsia="Courier New" w:hAnsi="Courier New"/>
                <w:color w:val="E2E8F0"/>
                <w:sz w:val="18"/>
                <w:szCs w:val="18"/>
              </w:rPr>
              <w:t xml:space="preserve">let (pk, sk) = signer.keygen()?;</w:t>
            </w:r>
          </w:p>
          <w:p>
            <w:pPr>
              <w:spacing w:after="20" w:before="0"/>
            </w:pPr>
            <w:r>
              <w:rPr>
                <w:rFonts w:ascii="Courier New" w:cs="Courier New" w:eastAsia="Courier New" w:hAnsi="Courier New"/>
                <w:color w:val="E2E8F0"/>
                <w:sz w:val="18"/>
                <w:szCs w:val="18"/>
              </w:rPr>
              <w:t xml:space="preserve">let msg = b"synq-contract-state-root:0xABCD1234";</w:t>
            </w:r>
          </w:p>
          <w:p>
            <w:pPr>
              <w:spacing w:after="20" w:before="0"/>
            </w:pPr>
            <w:r>
              <w:rPr>
                <w:rFonts w:ascii="Courier New" w:cs="Courier New" w:eastAsia="Courier New" w:hAnsi="Courier New"/>
                <w:color w:val="E2E8F0"/>
                <w:sz w:val="18"/>
                <w:szCs w:val="18"/>
              </w:rPr>
              <w:t xml:space="preserve">let sig = signer.detached_sign(msg, &amp;sk)?;</w:t>
            </w:r>
          </w:p>
          <w:p>
            <w:pPr>
              <w:spacing w:after="20" w:before="0"/>
            </w:pPr>
            <w:r>
              <w:rPr>
                <w:rFonts w:ascii="Courier New" w:cs="Courier New" w:eastAsia="Courier New" w:hAnsi="Courier New"/>
                <w:color w:val="E2E8F0"/>
                <w:sz w:val="18"/>
                <w:szCs w:val="18"/>
              </w:rPr>
              <w:t xml:space="preserve">assert!(signer.verify_detached(msg, &amp;sig, &amp;pk)?);</w:t>
            </w:r>
          </w:p>
        </w:tc>
      </w:tr>
    </w:tbl>
    <w:p>
      <w:pPr>
        <w:pStyle w:val="Heading2"/>
        <w:spacing w:after="120" w:before="240"/>
      </w:pPr>
      <w:r>
        <w:rPr>
          <w:rFonts w:ascii="Calibri" w:cs="Calibri" w:eastAsia="Calibri" w:hAnsi="Calibri"/>
          <w:b/>
          <w:bCs/>
          <w:color w:val="2D1B69"/>
          <w:sz w:val="32"/>
          <w:szCs w:val="32"/>
        </w:rPr>
        <w:t xml:space="preserve">Domain-Separated Signatures (Critical for SynQ Contracts)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use pqsynq::{Sign, DigitalSignature};</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let signer = Sign::mldsa65();</w:t>
            </w:r>
          </w:p>
          <w:p>
            <w:pPr>
              <w:spacing w:after="20" w:before="0"/>
            </w:pPr>
            <w:r>
              <w:rPr>
                <w:rFonts w:ascii="Courier New" w:cs="Courier New" w:eastAsia="Courier New" w:hAnsi="Courier New"/>
                <w:color w:val="E2E8F0"/>
                <w:sz w:val="18"/>
                <w:szCs w:val="18"/>
              </w:rPr>
              <w:t xml:space="preserve">let (pk, sk) = signer.keygen()?;</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Transaction signature — context prevents cross-domain replay</w:t>
            </w:r>
          </w:p>
          <w:p>
            <w:pPr>
              <w:spacing w:after="20" w:before="0"/>
            </w:pPr>
            <w:r>
              <w:rPr>
                <w:rFonts w:ascii="Courier New" w:cs="Courier New" w:eastAsia="Courier New" w:hAnsi="Courier New"/>
                <w:color w:val="E2E8F0"/>
                <w:sz w:val="18"/>
                <w:szCs w:val="18"/>
              </w:rPr>
              <w:t xml:space="preserve">let tx_payload = b"transfer:from=Alice,to=Bob,amount=100";</w:t>
            </w:r>
          </w:p>
          <w:p>
            <w:pPr>
              <w:spacing w:after="20" w:before="0"/>
            </w:pPr>
            <w:r>
              <w:rPr>
                <w:rFonts w:ascii="Courier New" w:cs="Courier New" w:eastAsia="Courier New" w:hAnsi="Courier New"/>
                <w:color w:val="E2E8F0"/>
                <w:sz w:val="18"/>
                <w:szCs w:val="18"/>
              </w:rPr>
              <w:t xml:space="preserve">let tx_sig = signer.sign_ctx(tx_payload, &amp;sk, b"synq-tx-v1")?;</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Governance vote — different context, same key pair</w:t>
            </w:r>
          </w:p>
          <w:p>
            <w:pPr>
              <w:spacing w:after="20" w:before="0"/>
            </w:pPr>
            <w:r>
              <w:rPr>
                <w:rFonts w:ascii="Courier New" w:cs="Courier New" w:eastAsia="Courier New" w:hAnsi="Courier New"/>
                <w:color w:val="E2E8F0"/>
                <w:sz w:val="18"/>
                <w:szCs w:val="18"/>
              </w:rPr>
              <w:t xml:space="preserve">let vote_payload = b"vote:proposal=7,choice=yes";</w:t>
            </w:r>
          </w:p>
          <w:p>
            <w:pPr>
              <w:spacing w:after="20" w:before="0"/>
            </w:pPr>
            <w:r>
              <w:rPr>
                <w:rFonts w:ascii="Courier New" w:cs="Courier New" w:eastAsia="Courier New" w:hAnsi="Courier New"/>
                <w:color w:val="E2E8F0"/>
                <w:sz w:val="18"/>
                <w:szCs w:val="18"/>
              </w:rPr>
              <w:t xml:space="preserve">let vote_sig = signer.sign_ctx(vote_payload, &amp;sk, b"synq-gov-v1")?;</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Verify transaction signature</w:t>
            </w:r>
          </w:p>
          <w:p>
            <w:pPr>
              <w:spacing w:after="20" w:before="0"/>
            </w:pPr>
            <w:r>
              <w:rPr>
                <w:rFonts w:ascii="Courier New" w:cs="Courier New" w:eastAsia="Courier New" w:hAnsi="Courier New"/>
                <w:color w:val="E2E8F0"/>
                <w:sz w:val="18"/>
                <w:szCs w:val="18"/>
              </w:rPr>
              <w:t xml:space="preserve">assert!(signer.verify_ctx(tx_payload, &amp;tx_sig, &amp;pk, b"synq-tx-v1")?);</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TX sig CANNOT verify as governance vote — context mismatch</w:t>
            </w:r>
          </w:p>
          <w:p>
            <w:pPr>
              <w:spacing w:after="20" w:before="0"/>
            </w:pPr>
            <w:r>
              <w:rPr>
                <w:rFonts w:ascii="Courier New" w:cs="Courier New" w:eastAsia="Courier New" w:hAnsi="Courier New"/>
                <w:color w:val="E2E8F0"/>
                <w:sz w:val="18"/>
                <w:szCs w:val="18"/>
              </w:rPr>
              <w:t xml:space="preserve">assert!(!signer.verify_ctx(tx_payload, &amp;tx_sig, &amp;pk, b"synq-gov-v1")?);</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FN-DSA contextual: returns PqcError::NotImplemented</w:t>
            </w:r>
          </w:p>
          <w:p>
            <w:pPr>
              <w:spacing w:after="20" w:before="0"/>
            </w:pPr>
            <w:r>
              <w:rPr>
                <w:rFonts w:ascii="Courier New" w:cs="Courier New" w:eastAsia="Courier New" w:hAnsi="Courier New"/>
                <w:color w:val="E2E8F0"/>
                <w:sz w:val="18"/>
                <w:szCs w:val="18"/>
              </w:rPr>
              <w:t xml:space="preserve">let falcon = Sign::fndsa512();</w:t>
            </w:r>
          </w:p>
          <w:p>
            <w:pPr>
              <w:spacing w:after="20" w:before="0"/>
            </w:pPr>
            <w:r>
              <w:rPr>
                <w:rFonts w:ascii="Courier New" w:cs="Courier New" w:eastAsia="Courier New" w:hAnsi="Courier New"/>
                <w:color w:val="E2E8F0"/>
                <w:sz w:val="18"/>
                <w:szCs w:val="18"/>
              </w:rPr>
              <w:t xml:space="preserve">let result = falcon.sign_ctx(msg, &amp;sk, b"context");</w:t>
            </w:r>
          </w:p>
          <w:p>
            <w:pPr>
              <w:spacing w:after="20" w:before="0"/>
            </w:pPr>
            <w:r>
              <w:rPr>
                <w:rFonts w:ascii="Courier New" w:cs="Courier New" w:eastAsia="Courier New" w:hAnsi="Courier New"/>
                <w:color w:val="E2E8F0"/>
                <w:sz w:val="18"/>
                <w:szCs w:val="18"/>
              </w:rPr>
              <w:t xml:space="preserve">assert!(matches!(result, Err(pqsynq::PqcError::NotImplemented)));</w:t>
            </w:r>
          </w:p>
        </w:tc>
      </w:tr>
    </w:tbl>
    <w:p>
      <w:pPr>
        <w:pStyle w:val="Heading2"/>
        <w:spacing w:after="120" w:before="240"/>
      </w:pPr>
      <w:r>
        <w:rPr>
          <w:rFonts w:ascii="Calibri" w:cs="Calibri" w:eastAsia="Calibri" w:hAnsi="Calibri"/>
          <w:b/>
          <w:bCs/>
          <w:color w:val="2D1B69"/>
          <w:sz w:val="32"/>
          <w:szCs w:val="32"/>
        </w:rPr>
        <w:t xml:space="preserve">HQC-KEM (Optional Feature)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 Cargo.toml: features = ["hqckem"]</w:t>
            </w:r>
          </w:p>
          <w:p>
            <w:pPr>
              <w:spacing w:after="20" w:before="0"/>
            </w:pPr>
            <w:r>
              <w:rPr>
                <w:rFonts w:ascii="Courier New" w:cs="Courier New" w:eastAsia="Courier New" w:hAnsi="Courier New"/>
                <w:color w:val="E2E8F0"/>
                <w:sz w:val="18"/>
                <w:szCs w:val="18"/>
              </w:rPr>
              <w:t xml:space="preserve">use pqsynq::{Kem, KeyEncapsulation};</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HQC-KEM-192 as alternative to ML-KEM</w:t>
            </w:r>
          </w:p>
          <w:p>
            <w:pPr>
              <w:spacing w:after="20" w:before="0"/>
            </w:pPr>
            <w:r>
              <w:rPr>
                <w:rFonts w:ascii="Courier New" w:cs="Courier New" w:eastAsia="Courier New" w:hAnsi="Courier New"/>
                <w:color w:val="E2E8F0"/>
                <w:sz w:val="18"/>
                <w:szCs w:val="18"/>
              </w:rPr>
              <w:t xml:space="preserve">let kem = Kem::hqckem192();</w:t>
            </w:r>
          </w:p>
          <w:p>
            <w:pPr>
              <w:spacing w:after="20" w:before="0"/>
            </w:pPr>
            <w:r>
              <w:rPr>
                <w:rFonts w:ascii="Courier New" w:cs="Courier New" w:eastAsia="Courier New" w:hAnsi="Courier New"/>
                <w:color w:val="E2E8F0"/>
                <w:sz w:val="18"/>
                <w:szCs w:val="18"/>
              </w:rPr>
              <w:t xml:space="preserve">let (pk, sk) = kem.keygen()?;</w:t>
            </w:r>
          </w:p>
          <w:p>
            <w:pPr>
              <w:spacing w:after="20" w:before="0"/>
            </w:pPr>
            <w:r>
              <w:rPr>
                <w:rFonts w:ascii="Courier New" w:cs="Courier New" w:eastAsia="Courier New" w:hAnsi="Courier New"/>
                <w:color w:val="E2E8F0"/>
                <w:sz w:val="18"/>
                <w:szCs w:val="18"/>
              </w:rPr>
              <w:t xml:space="preserve">let (ct, ss1) = kem.encapsulate(&amp;pk)?;</w:t>
            </w:r>
          </w:p>
          <w:p>
            <w:pPr>
              <w:spacing w:after="20" w:before="0"/>
            </w:pPr>
            <w:r>
              <w:rPr>
                <w:rFonts w:ascii="Courier New" w:cs="Courier New" w:eastAsia="Courier New" w:hAnsi="Courier New"/>
                <w:color w:val="E2E8F0"/>
                <w:sz w:val="18"/>
                <w:szCs w:val="18"/>
              </w:rPr>
              <w:t xml:space="preserve">let ss2 = kem.decapsulate(&amp;ct, &amp;sk)?;</w:t>
            </w:r>
          </w:p>
          <w:p>
            <w:pPr>
              <w:spacing w:after="20" w:before="0"/>
            </w:pPr>
            <w:r>
              <w:rPr>
                <w:rFonts w:ascii="Courier New" w:cs="Courier New" w:eastAsia="Courier New" w:hAnsi="Courier New"/>
                <w:color w:val="E2E8F0"/>
                <w:sz w:val="18"/>
                <w:szCs w:val="18"/>
              </w:rPr>
              <w:t xml:space="preserve">assert_eq!(ss1, ss2);</w:t>
            </w:r>
          </w:p>
        </w:tc>
      </w:tr>
    </w:tbl>
    <w:p>
      <w:pPr>
        <w:pStyle w:val="Heading2"/>
        <w:spacing w:after="120" w:before="240"/>
      </w:pPr>
      <w:r>
        <w:rPr>
          <w:rFonts w:ascii="Calibri" w:cs="Calibri" w:eastAsia="Calibri" w:hAnsi="Calibri"/>
          <w:b/>
          <w:bCs/>
          <w:color w:val="2D1B69"/>
          <w:sz w:val="32"/>
          <w:szCs w:val="32"/>
        </w:rPr>
        <w:t xml:space="preserve">WASM32 Build (SynQ Contract Compilation)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 Compile pqsynq for wasm32-unknown-unknown (SynQ WASM target)</w:t>
            </w:r>
          </w:p>
          <w:p>
            <w:pPr>
              <w:spacing w:after="20" w:before="0"/>
            </w:pPr>
            <w:r>
              <w:rPr>
                <w:rFonts w:ascii="Courier New" w:cs="Courier New" w:eastAsia="Courier New" w:hAnsi="Courier New"/>
                <w:color w:val="E2E8F0"/>
                <w:sz w:val="18"/>
                <w:szCs w:val="18"/>
              </w:rPr>
              <w:t xml:space="preserve">cargo check -p aegis-pqsynq --target wasm32-unknown-unknown \</w:t>
            </w:r>
          </w:p>
          <w:p>
            <w:pPr>
              <w:spacing w:after="20" w:before="0"/>
            </w:pPr>
            <w:r>
              <w:rPr>
                <w:rFonts w:ascii="Courier New" w:cs="Courier New" w:eastAsia="Courier New" w:hAnsi="Courier New"/>
                <w:color w:val="E2E8F0"/>
                <w:sz w:val="18"/>
                <w:szCs w:val="18"/>
              </w:rPr>
              <w:t xml:space="preserve">    --no-default-features --locked</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With WASI SDK for wasm32-wasip1</w:t>
            </w:r>
          </w:p>
          <w:p>
            <w:pPr>
              <w:spacing w:after="20" w:before="0"/>
            </w:pPr>
            <w:r>
              <w:rPr>
                <w:rFonts w:ascii="Courier New" w:cs="Courier New" w:eastAsia="Courier New" w:hAnsi="Courier New"/>
                <w:color w:val="E2E8F0"/>
                <w:sz w:val="18"/>
                <w:szCs w:val="18"/>
              </w:rPr>
              <w:t xml:space="preserve">cargo check -p aegis-pqsynq --target wasm32-wasip1 \</w:t>
            </w:r>
          </w:p>
          <w:p>
            <w:pPr>
              <w:spacing w:after="20" w:before="0"/>
            </w:pPr>
            <w:r>
              <w:rPr>
                <w:rFonts w:ascii="Courier New" w:cs="Courier New" w:eastAsia="Courier New" w:hAnsi="Courier New"/>
                <w:color w:val="E2E8F0"/>
                <w:sz w:val="18"/>
                <w:szCs w:val="18"/>
              </w:rPr>
              <w:t xml:space="preserve">    --no-default-features --locked</w:t>
            </w:r>
          </w:p>
        </w:tc>
      </w:tr>
    </w:tbl>
    <w:p>
      <w:r>
        <w:br w:type="page"/>
      </w:r>
    </w:p>
    <w:p>
      <w:pPr>
        <w:spacing w:after="40" w:before="240"/>
      </w:pPr>
      <w:r>
        <w:rPr>
          <w:rFonts w:ascii="Calibri" w:cs="Calibri" w:eastAsia="Calibri" w:hAnsi="Calibri"/>
          <w:b/>
          <w:bCs/>
          <w:color w:val="6B21A8"/>
          <w:sz w:val="17"/>
          <w:szCs w:val="17"/>
        </w:rPr>
        <w:t xml:space="preserve">SECTION 6</w:t>
      </w:r>
    </w:p>
    <w:p>
      <w:pPr>
        <w:pStyle w:val="Heading1"/>
        <w:pBdr>
          <w:bottom w:val="single" w:color="D8B4FE" w:sz="6"/>
        </w:pBdr>
        <w:spacing w:after="160" w:before="320"/>
      </w:pPr>
      <w:r>
        <w:rPr>
          <w:rFonts w:ascii="Calibri" w:cs="Calibri" w:eastAsia="Calibri" w:hAnsi="Calibri"/>
          <w:b/>
          <w:bCs/>
          <w:color w:val="6B21A8"/>
          <w:sz w:val="40"/>
          <w:szCs w:val="40"/>
        </w:rPr>
        <w:t xml:space="preserve">API Reference</w:t>
      </w:r>
    </w:p>
    <w:p>
      <w:pPr>
        <w:pStyle w:val="Heading2"/>
        <w:spacing w:after="120" w:before="240"/>
      </w:pPr>
      <w:r>
        <w:rPr>
          <w:rFonts w:ascii="Calibri" w:cs="Calibri" w:eastAsia="Calibri" w:hAnsi="Calibri"/>
          <w:b/>
          <w:bCs/>
          <w:color w:val="2D1B69"/>
          <w:sz w:val="32"/>
          <w:szCs w:val="32"/>
        </w:rPr>
        <w:t xml:space="preserve">Kem — Key Encapsulation Factories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Factory</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Algorithm</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Security Level</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Kem::mlkem512()</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ML-KEM-512</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Level 1 (AES-128 equivalent)</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Kem::mlkem768()</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ML-KEM-768</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Level 3 (AES-192 equivalent) — recommended</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Kem::mlkem1024()</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ML-KEM-1024</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Level 5 (AES-256 equivalent)</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Kem::hqckem128()</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HQC-KEM-128</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Level 1 (feature: hqckem)</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Kem::hqckem192()</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HQC-KEM-192</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Level 3 (feature: hqckem)</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Kem::hqckem256()</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HQC-KEM-256</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NIST Level 5 (feature: hqckem)</w:t>
            </w:r>
          </w:p>
        </w:tc>
      </w:tr>
    </w:tbl>
    <w:p>
      <w:pPr>
        <w:pStyle w:val="Heading2"/>
        <w:spacing w:after="120" w:before="240"/>
      </w:pPr>
      <w:r>
        <w:rPr>
          <w:rFonts w:ascii="Calibri" w:cs="Calibri" w:eastAsia="Calibri" w:hAnsi="Calibri"/>
          <w:b/>
          <w:bCs/>
          <w:color w:val="2D1B69"/>
          <w:sz w:val="32"/>
          <w:szCs w:val="32"/>
        </w:rPr>
        <w:t xml:space="preserve">Sign — Digital Signature Factories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Factory</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Algorithm</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Contextual Signing</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Sign::mldsa44()</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ML-DSA-44</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 / verify_ctx — supported</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Sign::mldsa65()</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ML-DSA-65</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 / verify_ctx — supported (recommended)</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Sign::mldsa87()</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ML-DSA-87</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 / verify_ctx — supported</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Sign::fndsa512()</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FN-DSA-512</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 returns PqcError::NotImplemented</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Sign::fndsa1024()</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FN-DSA-1024</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 returns PqcError::NotImplemented</w:t>
            </w:r>
          </w:p>
        </w:tc>
      </w:tr>
    </w:tbl>
    <w:p>
      <w:pPr>
        <w:pStyle w:val="Heading2"/>
        <w:spacing w:after="120" w:before="240"/>
      </w:pPr>
      <w:r>
        <w:rPr>
          <w:rFonts w:ascii="Calibri" w:cs="Calibri" w:eastAsia="Calibri" w:hAnsi="Calibri"/>
          <w:b/>
          <w:bCs/>
          <w:color w:val="2D1B69"/>
          <w:sz w:val="32"/>
          <w:szCs w:val="32"/>
        </w:rPr>
        <w:t xml:space="preserve">KeyEncapsulation Trait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Method</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Returns</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Description</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keygen()</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Result&lt;(PublicKey, SecretKey), PqcError&gt;</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Generate key pair</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encapsulate(pk)</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Result&lt;(Ciphertext, SharedSecret), PqcError&gt;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Encapsulate to public key</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decapsulate(ct, sk)</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Result&lt;SharedSecret, PqcError&gt;</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Recover shared secret</w:t>
            </w:r>
          </w:p>
        </w:tc>
      </w:tr>
    </w:tbl>
    <w:p>
      <w:pPr>
        <w:pStyle w:val="Heading2"/>
        <w:spacing w:after="120" w:before="240"/>
      </w:pPr>
      <w:r>
        <w:rPr>
          <w:rFonts w:ascii="Calibri" w:cs="Calibri" w:eastAsia="Calibri" w:hAnsi="Calibri"/>
          <w:b/>
          <w:bCs/>
          <w:color w:val="2D1B69"/>
          <w:sz w:val="32"/>
          <w:szCs w:val="32"/>
        </w:rPr>
        <w:t xml:space="preserve">DigitalSignature Trait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Method</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Returns</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Description</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keygen()</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Result&lt;(PublicKey, SecretKey), PqcError&gt;</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Generate signing key pair</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detached_sign(msg, sk)</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Result&lt;Signature, PqcError&gt;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 without context</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verify_detached(msg, sig, pk)</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Result&lt;bool, PqcError&gt;</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Verify detached signature</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sign_ctx(msg, sk, ctx)</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Result&lt;Signature, PqcError&gt;</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 with domain context (ML-DSA only)</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verify_ctx(msg, sig, pk, ctx)</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Result&lt;bool, PqcError&gt;</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Verify with domain context (ML-DSA only)</w:t>
            </w:r>
          </w:p>
        </w:tc>
      </w:tr>
    </w:tbl>
    <w:p>
      <w:r>
        <w:br w:type="page"/>
      </w:r>
    </w:p>
    <w:p>
      <w:pPr>
        <w:spacing w:after="40" w:before="240"/>
      </w:pPr>
      <w:r>
        <w:rPr>
          <w:rFonts w:ascii="Calibri" w:cs="Calibri" w:eastAsia="Calibri" w:hAnsi="Calibri"/>
          <w:b/>
          <w:bCs/>
          <w:color w:val="6B21A8"/>
          <w:sz w:val="17"/>
          <w:szCs w:val="17"/>
        </w:rPr>
        <w:t xml:space="preserve">SECTION 7</w:t>
      </w:r>
    </w:p>
    <w:p>
      <w:pPr>
        <w:pStyle w:val="Heading1"/>
        <w:pBdr>
          <w:bottom w:val="single" w:color="D8B4FE" w:sz="6"/>
        </w:pBdr>
        <w:spacing w:after="160" w:before="320"/>
      </w:pPr>
      <w:r>
        <w:rPr>
          <w:rFonts w:ascii="Calibri" w:cs="Calibri" w:eastAsia="Calibri" w:hAnsi="Calibri"/>
          <w:b/>
          <w:bCs/>
          <w:color w:val="6B21A8"/>
          <w:sz w:val="40"/>
          <w:szCs w:val="40"/>
        </w:rPr>
        <w:t xml:space="preserve">Testing &amp;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6EFAC" w:sz="4"/>
              <w:left w:val="single" w:color="6B21A8" w:sz="16"/>
              <w:bottom w:val="single" w:color="86EFAC" w:sz="4"/>
              <w:right w:val="none" w:color="FFFFFF" w:sz="0"/>
            </w:tcBorders>
            <w:shd w:fill="F0FDF4" w:val="clear"/>
            <w:tcMar>
              <w:top w:type="dxa" w:w="140"/>
              <w:left w:type="dxa" w:w="200"/>
              <w:bottom w:type="dxa" w:w="140"/>
              <w:right w:type="dxa" w:w="200"/>
            </w:tcMar>
          </w:tcPr>
          <w:p>
            <w:pPr>
              <w:spacing w:after="60" w:before="0"/>
            </w:pPr>
            <w:r>
              <w:rPr>
                <w:rFonts w:ascii="Calibri" w:cs="Calibri" w:eastAsia="Calibri" w:hAnsi="Calibri"/>
                <w:b/>
                <w:bCs/>
                <w:color w:val="1E1B4b"/>
                <w:sz w:val="22"/>
                <w:szCs w:val="22"/>
              </w:rPr>
              <w:t xml:space="preserve">OK Production Gate Status: PASSING (February 2026)</w:t>
            </w:r>
          </w:p>
          <w:p>
            <w:pPr>
              <w:spacing w:after="0" w:before="0"/>
            </w:pPr>
            <w:r>
              <w:rPr>
                <w:rFonts w:ascii="Calibri" w:cs="Calibri" w:eastAsia="Calibri" w:hAnsi="Calibri"/>
                <w:color w:val="374151"/>
                <w:sz w:val="20"/>
                <w:szCs w:val="20"/>
              </w:rPr>
              <w:t xml:space="preserve">cargo clippy -p aegis-pqsynq --all-targets --all-features --no-deps --locked -- -D warnings OK. cargo test -p aegis-pqsynq --all-features --all-targets --locked OK (February 2026).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 Full validation suite (run from SynQ workspace root)</w:t>
            </w:r>
          </w:p>
          <w:p>
            <w:pPr>
              <w:spacing w:after="20" w:before="0"/>
            </w:pPr>
            <w:r>
              <w:rPr>
                <w:rFonts w:ascii="Courier New" w:cs="Courier New" w:eastAsia="Courier New" w:hAnsi="Courier New"/>
                <w:color w:val="E2E8F0"/>
                <w:sz w:val="18"/>
                <w:szCs w:val="18"/>
              </w:rPr>
              <w:t xml:space="preserve">cargo fmt --all --check</w:t>
            </w:r>
          </w:p>
          <w:p>
            <w:pPr>
              <w:spacing w:after="20" w:before="0"/>
            </w:pPr>
            <w:r>
              <w:rPr>
                <w:rFonts w:ascii="Courier New" w:cs="Courier New" w:eastAsia="Courier New" w:hAnsi="Courier New"/>
                <w:color w:val="E2E8F0"/>
                <w:sz w:val="18"/>
                <w:szCs w:val="18"/>
              </w:rPr>
              <w:t xml:space="preserve">cargo clippy -p aegis-pqsynq \</w:t>
            </w:r>
          </w:p>
          <w:p>
            <w:pPr>
              <w:spacing w:after="20" w:before="0"/>
            </w:pPr>
            <w:r>
              <w:rPr>
                <w:rFonts w:ascii="Courier New" w:cs="Courier New" w:eastAsia="Courier New" w:hAnsi="Courier New"/>
                <w:color w:val="E2E8F0"/>
                <w:sz w:val="18"/>
                <w:szCs w:val="18"/>
              </w:rPr>
              <w:t xml:space="preserve">    --all-targets --all-features --no-deps --locked -- -D warnings</w:t>
            </w:r>
          </w:p>
          <w:p>
            <w:pPr>
              <w:spacing w:after="20" w:before="0"/>
            </w:pPr>
            <w:r>
              <w:rPr>
                <w:rFonts w:ascii="Courier New" w:cs="Courier New" w:eastAsia="Courier New" w:hAnsi="Courier New"/>
                <w:color w:val="E2E8F0"/>
                <w:sz w:val="18"/>
                <w:szCs w:val="18"/>
              </w:rPr>
              <w:t xml:space="preserve">cargo test -p aegis-pqsynq --all-features --all-targets --locked</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no_std check</w:t>
            </w:r>
          </w:p>
          <w:p>
            <w:pPr>
              <w:spacing w:after="20" w:before="0"/>
            </w:pPr>
            <w:r>
              <w:rPr>
                <w:rFonts w:ascii="Courier New" w:cs="Courier New" w:eastAsia="Courier New" w:hAnsi="Courier New"/>
                <w:color w:val="E2E8F0"/>
                <w:sz w:val="18"/>
                <w:szCs w:val="18"/>
              </w:rPr>
              <w:t xml:space="preserve">cargo check -p aegis-pqsynq --no-default-features --locked</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WASM32 target check</w:t>
            </w:r>
          </w:p>
          <w:p>
            <w:pPr>
              <w:spacing w:after="20" w:before="0"/>
            </w:pPr>
            <w:r>
              <w:rPr>
                <w:rFonts w:ascii="Courier New" w:cs="Courier New" w:eastAsia="Courier New" w:hAnsi="Courier New"/>
                <w:color w:val="E2E8F0"/>
                <w:sz w:val="18"/>
                <w:szCs w:val="18"/>
              </w:rPr>
              <w:t xml:space="preserve">cargo check -p aegis-pqsynq \</w:t>
            </w:r>
          </w:p>
          <w:p>
            <w:pPr>
              <w:spacing w:after="20" w:before="0"/>
            </w:pPr>
            <w:r>
              <w:rPr>
                <w:rFonts w:ascii="Courier New" w:cs="Courier New" w:eastAsia="Courier New" w:hAnsi="Courier New"/>
                <w:color w:val="E2E8F0"/>
                <w:sz w:val="18"/>
                <w:szCs w:val="18"/>
              </w:rPr>
              <w:t xml:space="preserve">    --target wasm32-unknown-unknown --no-default-features --locked</w:t>
            </w:r>
          </w:p>
        </w:tc>
      </w:tr>
    </w:tbl>
    <w:p>
      <w:r>
        <w:br w:type="page"/>
      </w:r>
    </w:p>
    <w:p>
      <w:pPr>
        <w:spacing w:after="40" w:before="240"/>
      </w:pPr>
      <w:r>
        <w:rPr>
          <w:rFonts w:ascii="Calibri" w:cs="Calibri" w:eastAsia="Calibri" w:hAnsi="Calibri"/>
          <w:b/>
          <w:bCs/>
          <w:color w:val="6B21A8"/>
          <w:sz w:val="17"/>
          <w:szCs w:val="17"/>
        </w:rPr>
        <w:t xml:space="preserve">SECTION 8</w:t>
      </w:r>
    </w:p>
    <w:p>
      <w:pPr>
        <w:pStyle w:val="Heading1"/>
        <w:pBdr>
          <w:bottom w:val="single" w:color="D8B4FE" w:sz="6"/>
        </w:pBdr>
        <w:spacing w:after="160" w:before="320"/>
      </w:pPr>
      <w:r>
        <w:rPr>
          <w:rFonts w:ascii="Calibri" w:cs="Calibri" w:eastAsia="Calibri" w:hAnsi="Calibri"/>
          <w:b/>
          <w:bCs/>
          <w:color w:val="6B21A8"/>
          <w:sz w:val="40"/>
          <w:szCs w:val="40"/>
        </w:rPr>
        <w:t xml:space="preserve">Security &amp; Compliance</w:t>
      </w:r>
    </w:p>
    <w:p>
      <w:pPr>
        <w:pStyle w:val="Heading2"/>
        <w:spacing w:after="120" w:before="240"/>
      </w:pPr>
      <w:r>
        <w:rPr>
          <w:rFonts w:ascii="Calibri" w:cs="Calibri" w:eastAsia="Calibri" w:hAnsi="Calibri"/>
          <w:b/>
          <w:bCs/>
          <w:color w:val="2D1B69"/>
          <w:sz w:val="32"/>
          <w:szCs w:val="32"/>
        </w:rPr>
        <w:t xml:space="preserve">Smart Contract Security Properties</w:t>
      </w:r>
    </w:p>
    <w:p>
      <w:pPr>
        <w:spacing w:after="100" w:before="80"/>
      </w:pPr>
      <w:r>
        <w:rPr>
          <w:rFonts w:ascii="Calibri" w:cs="Calibri" w:eastAsia="Calibri" w:hAnsi="Calibri"/>
          <w:color w:val="374151"/>
          <w:sz w:val="22"/>
          <w:szCs w:val="22"/>
        </w:rPr>
        <w:t xml:space="preserve">aegis-pqsynq is designed to satisfy four critical security properties required of cryptographic APIs in smart contract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Property</w:t>
            </w:r>
          </w:p>
        </w:tc>
        <w:tc>
          <w:tcPr>
            <w:tcW w:type="dxa" w:w="504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How aegis-pqsynq Satisfies It</w:t>
            </w:r>
          </w:p>
        </w:tc>
      </w:tr>
      <w:tr>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Non-malleability</w:t>
            </w:r>
          </w:p>
        </w:tc>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 signatures are non-malleable by design — no one can modify a valid signature to produce another valid signature on a different message.</w:t>
            </w:r>
          </w:p>
        </w:tc>
      </w:tr>
      <w:tr>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Domain separation</w:t>
            </w:r>
          </w:p>
        </w:tc>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sign_ctx / verify_ctx with mandatory context bytes prevents cross-protocol signature replay within the SynQ ecosystem.</w:t>
            </w:r>
          </w:p>
        </w:tc>
      </w:tr>
      <w:tr>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Determinism</w:t>
            </w:r>
          </w:p>
        </w:tc>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Signature verification is unconditionally deterministic — identical inputs always produce identical outputs across all SynQ VM instances.</w:t>
            </w:r>
          </w:p>
        </w:tc>
      </w:tr>
      <w:tr>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Error propagation</w:t>
            </w:r>
          </w:p>
        </w:tc>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All operations return Result&lt;T, PqcError&gt;. No panics, no unwraps, no silent failures. Errors propagate cleanly through SynQ contract logic.</w:t>
            </w:r>
          </w:p>
        </w:tc>
      </w:tr>
    </w:tbl>
    <w:p>
      <w:pPr>
        <w:pStyle w:val="Heading2"/>
        <w:spacing w:after="120" w:before="240"/>
      </w:pPr>
      <w:r>
        <w:rPr>
          <w:rFonts w:ascii="Calibri" w:cs="Calibri" w:eastAsia="Calibri" w:hAnsi="Calibri"/>
          <w:b/>
          <w:bCs/>
          <w:color w:val="2D1B69"/>
          <w:sz w:val="32"/>
          <w:szCs w:val="32"/>
        </w:rPr>
        <w:t xml:space="preserve">PqcError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Variant</w:t>
            </w:r>
          </w:p>
        </w:tc>
        <w:tc>
          <w:tcPr>
            <w:tcW w:type="dxa" w:w="504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Description</w:t>
            </w:r>
          </w:p>
        </w:tc>
      </w:tr>
      <w:tr>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PqcError::KeygenFailed</w:t>
            </w:r>
          </w:p>
        </w:tc>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Key generation failed (entropy source unavailable or exhausted)</w:t>
            </w:r>
          </w:p>
        </w:tc>
      </w:tr>
      <w:tr>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PqcError::EncapFailed</w:t>
            </w:r>
          </w:p>
        </w:tc>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Encapsulation failed (malformed public key or internal error)</w:t>
            </w:r>
          </w:p>
        </w:tc>
      </w:tr>
      <w:tr>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PqcError::DecapFailed</w:t>
            </w:r>
          </w:p>
        </w:tc>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Decapsulation failed (ciphertext corrupted or key mismatch)</w:t>
            </w:r>
          </w:p>
        </w:tc>
      </w:tr>
      <w:tr>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PqcError::SignFailed</w:t>
            </w:r>
          </w:p>
        </w:tc>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Signature generation failed (internal error)</w:t>
            </w:r>
          </w:p>
        </w:tc>
      </w:tr>
      <w:tr>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PqcError::VerifyFailed</w:t>
            </w:r>
          </w:p>
        </w:tc>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Signature verification failed (invalid signature, wrong key, or wrong message)</w:t>
            </w:r>
          </w:p>
        </w:tc>
      </w:tr>
      <w:tr>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PqcError::NotImplemented</w:t>
            </w:r>
          </w:p>
        </w:tc>
        <w:tc>
          <w:tcPr>
            <w:tcW w:type="dxa" w:w="504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Operation not implemented for this algorithm (e.g., sign_ctx for FN-DSA)</w:t>
            </w:r>
          </w:p>
        </w:tc>
      </w:tr>
      <w:tr>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PqcError::InvalidInput</w:t>
            </w:r>
          </w:p>
        </w:tc>
        <w:tc>
          <w:tcPr>
            <w:tcW w:type="dxa" w:w="504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Input parameters violate length or format constraints</w:t>
            </w:r>
          </w:p>
        </w:tc>
      </w:tr>
    </w:tbl>
    <w:p>
      <w:pPr>
        <w:pStyle w:val="Heading3"/>
        <w:spacing w:after="80" w:before="160"/>
      </w:pPr>
      <w:r>
        <w:rPr>
          <w:rFonts w:ascii="Calibri" w:cs="Calibri" w:eastAsia="Calibri" w:hAnsi="Calibri"/>
          <w:b/>
          <w:bCs/>
          <w:color w:val="6B21A8"/>
          <w:sz w:val="26"/>
          <w:szCs w:val="26"/>
        </w:rPr>
        <w:t xml:space="preserve">Standards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Standard</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Algorithm</w:t>
            </w:r>
          </w:p>
        </w:tc>
        <w:tc>
          <w:tcPr>
            <w:tcW w:type="dxa" w:w="3360"/>
            <w:tcBorders>
              <w:top w:val="single" w:color="2D1B69" w:sz="4"/>
              <w:left w:val="single" w:color="2D1B69" w:sz="4"/>
              <w:bottom w:val="single" w:color="2D1B69" w:sz="4"/>
              <w:right w:val="single" w:color="2D1B69" w:sz="4"/>
            </w:tcBorders>
            <w:shd w:fill="2D1B69" w:val="clear"/>
            <w:tcMar>
              <w:top w:type="dxa" w:w="100"/>
              <w:left w:type="dxa" w:w="120"/>
              <w:bottom w:type="dxa" w:w="100"/>
              <w:right w:type="dxa" w:w="120"/>
            </w:tcMar>
          </w:tcPr>
          <w:p>
            <w:pPr>
              <w:spacing w:after="0" w:before="0"/>
            </w:pPr>
            <w:r>
              <w:rPr>
                <w:rFonts w:ascii="Calibri" w:cs="Calibri" w:eastAsia="Calibri" w:hAnsi="Calibri"/>
                <w:b/>
                <w:bCs/>
                <w:color w:val="FFFFFF"/>
                <w:sz w:val="19"/>
                <w:szCs w:val="19"/>
              </w:rPr>
              <w:t xml:space="preserve">Scope</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203</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ML-KEM</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Key Encapsulation — Module-Lattice Based</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204</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ML-DSA</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Digital Signature — Module-Lattice Based</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205</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SLH-DSA</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Digital Signature — Stateless Hash-Based</w:t>
            </w:r>
          </w:p>
        </w:tc>
      </w:tr>
      <w:tr>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206</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FN-DSA</w:t>
            </w:r>
          </w:p>
        </w:tc>
        <w:tc>
          <w:tcPr>
            <w:tcW w:type="dxa" w:w="3360"/>
            <w:tcBorders>
              <w:top w:val="single" w:color="E9D5FF" w:sz="2"/>
              <w:left w:val="single" w:color="E9D5FF" w:sz="2"/>
              <w:bottom w:val="single" w:color="E9D5FF" w:sz="2"/>
              <w:right w:val="single" w:color="E9D5FF" w:sz="2"/>
            </w:tcBorders>
            <w:shd w:fill="FAF5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Digital Signature — FFT over NTRU Lattice</w:t>
            </w:r>
          </w:p>
        </w:tc>
      </w:tr>
      <w:tr>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FIPS 207</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HQC-KEM</w:t>
            </w:r>
          </w:p>
        </w:tc>
        <w:tc>
          <w:tcPr>
            <w:tcW w:type="dxa" w:w="3360"/>
            <w:tcBorders>
              <w:top w:val="single" w:color="E9D5FF" w:sz="2"/>
              <w:left w:val="single" w:color="E9D5FF" w:sz="2"/>
              <w:bottom w:val="single" w:color="E9D5FF" w:sz="2"/>
              <w:right w:val="single" w:color="E9D5FF" w:sz="2"/>
            </w:tcBorders>
            <w:shd w:fill="FFFFFF" w:val="clear"/>
            <w:tcMar>
              <w:top w:type="dxa" w:w="80"/>
              <w:left w:type="dxa" w:w="120"/>
              <w:bottom w:type="dxa" w:w="80"/>
              <w:right w:type="dxa" w:w="120"/>
            </w:tcMar>
          </w:tcPr>
          <w:p>
            <w:pPr>
              <w:spacing w:after="0" w:before="0"/>
            </w:pPr>
            <w:r>
              <w:rPr>
                <w:rFonts w:ascii="Calibri" w:cs="Calibri" w:eastAsia="Calibri" w:hAnsi="Calibri"/>
                <w:color w:val="374151"/>
                <w:sz w:val="19"/>
                <w:szCs w:val="19"/>
              </w:rPr>
              <w:t xml:space="preserve">Key Encapsulation — Hamming Quasi-Cyclic</w:t>
            </w:r>
          </w:p>
        </w:tc>
      </w:tr>
    </w:tbl>
    <w:p>
      <w:r>
        <w:br w:type="page"/>
      </w:r>
    </w:p>
    <w:p>
      <w:pPr>
        <w:spacing w:after="40" w:before="240"/>
      </w:pPr>
      <w:r>
        <w:rPr>
          <w:rFonts w:ascii="Calibri" w:cs="Calibri" w:eastAsia="Calibri" w:hAnsi="Calibri"/>
          <w:b/>
          <w:bCs/>
          <w:color w:val="6B21A8"/>
          <w:sz w:val="17"/>
          <w:szCs w:val="17"/>
        </w:rPr>
        <w:t xml:space="preserve">SECTION 9</w:t>
      </w:r>
    </w:p>
    <w:p>
      <w:pPr>
        <w:pStyle w:val="Heading1"/>
        <w:pBdr>
          <w:bottom w:val="single" w:color="D8B4FE" w:sz="6"/>
        </w:pBdr>
        <w:spacing w:after="160" w:before="320"/>
      </w:pPr>
      <w:r>
        <w:rPr>
          <w:rFonts w:ascii="Calibri" w:cs="Calibri" w:eastAsia="Calibri" w:hAnsi="Calibri"/>
          <w:b/>
          <w:bCs/>
          <w:color w:val="6B21A8"/>
          <w:sz w:val="40"/>
          <w:szCs w:val="40"/>
        </w:rPr>
        <w:t xml:space="preserve">Operations &amp;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333EA" w:sz="20"/>
              <w:bottom w:val="none" w:color="FFFFFF" w:sz="0"/>
              <w:right w:val="none" w:color="FFFFFF" w:sz="0"/>
            </w:tcBorders>
            <w:shd w:fill="1E1B4B" w:val="clear"/>
            <w:tcMar>
              <w:top w:type="dxa" w:w="160"/>
              <w:left w:type="dxa" w:w="200"/>
              <w:bottom w:type="dxa" w:w="160"/>
              <w:right w:type="dxa" w:w="200"/>
            </w:tcMar>
          </w:tcPr>
          <w:p>
            <w:pPr>
              <w:spacing w:after="20" w:before="0"/>
            </w:pPr>
            <w:r>
              <w:rPr>
                <w:rFonts w:ascii="Courier New" w:cs="Courier New" w:eastAsia="Courier New" w:hAnsi="Courier New"/>
                <w:color w:val="E2E8F0"/>
                <w:sz w:val="18"/>
                <w:szCs w:val="18"/>
              </w:rPr>
              <w:t xml:space="preserve"># Generate Software Bill of Materials (SBOM)</w:t>
            </w:r>
          </w:p>
          <w:p>
            <w:pPr>
              <w:spacing w:after="20" w:before="0"/>
            </w:pPr>
            <w:r>
              <w:rPr>
                <w:rFonts w:ascii="Courier New" w:cs="Courier New" w:eastAsia="Courier New" w:hAnsi="Courier New"/>
                <w:color w:val="E2E8F0"/>
                <w:sz w:val="18"/>
                <w:szCs w:val="18"/>
              </w:rPr>
              <w:t xml:space="preserve">./scripts/generate_sbom.sh</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Generate release manifest</w:t>
            </w:r>
          </w:p>
          <w:p>
            <w:pPr>
              <w:spacing w:after="20" w:before="0"/>
            </w:pPr>
            <w:r>
              <w:rPr>
                <w:rFonts w:ascii="Courier New" w:cs="Courier New" w:eastAsia="Courier New" w:hAnsi="Courier New"/>
                <w:color w:val="E2E8F0"/>
                <w:sz w:val="18"/>
                <w:szCs w:val="18"/>
              </w:rPr>
              <w:t xml:space="preserve">./scripts/generate_release_manifest.sh</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Generate cryptographic provenance attestation</w:t>
            </w:r>
          </w:p>
          <w:p>
            <w:pPr>
              <w:spacing w:after="20" w:before="0"/>
            </w:pPr>
            <w:r>
              <w:rPr>
                <w:rFonts w:ascii="Courier New" w:cs="Courier New" w:eastAsia="Courier New" w:hAnsi="Courier New"/>
                <w:color w:val="E2E8F0"/>
                <w:sz w:val="18"/>
                <w:szCs w:val="18"/>
              </w:rPr>
              <w:t xml:space="preserve">./scripts/generate_provenance.sh</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Package customer delivery bundle</w:t>
            </w:r>
          </w:p>
          <w:p>
            <w:pPr>
              <w:spacing w:after="20" w:before="0"/>
            </w:pPr>
            <w:r>
              <w:rPr>
                <w:rFonts w:ascii="Courier New" w:cs="Courier New" w:eastAsia="Courier New" w:hAnsi="Courier New"/>
                <w:color w:val="E2E8F0"/>
                <w:sz w:val="18"/>
                <w:szCs w:val="18"/>
              </w:rPr>
              <w:t xml:space="preserve">./scripts/package_customer_bundle.sh</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Verify bundle integrity</w:t>
            </w:r>
          </w:p>
          <w:p>
            <w:pPr>
              <w:spacing w:after="20" w:before="0"/>
            </w:pPr>
            <w:r>
              <w:rPr>
                <w:rFonts w:ascii="Courier New" w:cs="Courier New" w:eastAsia="Courier New" w:hAnsi="Courier New"/>
                <w:color w:val="E2E8F0"/>
                <w:sz w:val="18"/>
                <w:szCs w:val="18"/>
              </w:rPr>
              <w:t xml:space="preserve">./scripts/verify_release_bundle.sh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CD34D" w:sz="4"/>
              <w:left w:val="single" w:color="6B21A8" w:sz="16"/>
              <w:bottom w:val="single" w:color="FCD34D" w:sz="4"/>
              <w:right w:val="none" w:color="FFFFFF" w:sz="0"/>
            </w:tcBorders>
            <w:shd w:fill="FFFBEB" w:val="clear"/>
            <w:tcMar>
              <w:top w:type="dxa" w:w="140"/>
              <w:left w:type="dxa" w:w="200"/>
              <w:bottom w:type="dxa" w:w="140"/>
              <w:right w:type="dxa" w:w="200"/>
            </w:tcMar>
          </w:tcPr>
          <w:p>
            <w:pPr>
              <w:spacing w:after="60" w:before="0"/>
            </w:pPr>
            <w:r>
              <w:rPr>
                <w:rFonts w:ascii="Calibri" w:cs="Calibri" w:eastAsia="Calibri" w:hAnsi="Calibri"/>
                <w:b/>
                <w:bCs/>
                <w:color w:val="1E1B4b"/>
                <w:sz w:val="22"/>
                <w:szCs w:val="22"/>
              </w:rPr>
              <w:t xml:space="preserve">! Distribution Policy</w:t>
            </w:r>
          </w:p>
          <w:p>
            <w:pPr>
              <w:spacing w:after="0" w:before="0"/>
            </w:pPr>
            <w:r>
              <w:rPr>
                <w:rFonts w:ascii="Calibri" w:cs="Calibri" w:eastAsia="Calibri" w:hAnsi="Calibri"/>
                <w:color w:val="374151"/>
                <w:sz w:val="20"/>
                <w:szCs w:val="20"/>
              </w:rPr>
              <w:t xml:space="preserve">This module is not published to crates.io, npm, PyPI, or any public package registry. Distribution is exclusively through licensed channels controlled by Synergy Engineering Labs. All Aegis code is 100% production-ready — no placeholder or stub implementations permitted.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B4FE" w:sz="4"/>
      </w:pBdr>
      <w:spacing w:after="0" w:before="100"/>
      <w:jc w:val="right"/>
    </w:pPr>
    <w:r>
      <w:rPr>
        <w:rFonts w:ascii="Calibri" w:cs="Calibri" w:eastAsia="Calibri" w:hAnsi="Calibri"/>
        <w:color w:val="6B7280"/>
        <w:sz w:val="17"/>
        <w:szCs w:val="17"/>
      </w:rPr>
      <w:t xml:space="preserve">© 2026 Synergy Engineering Labs  |  Patent Pending  |  Confidential   Page </w:t>
    </w:r>
    <w:r>
      <w:rPr>
        <w:rFonts w:ascii="Calibri" w:cs="Calibri" w:eastAsia="Calibri" w:hAnsi="Calibri"/>
        <w:color w:val="6B21A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B4FE" w:sz="4"/>
      </w:pBdr>
      <w:spacing w:after="100" w:before="0"/>
    </w:pPr>
    <w:r>
      <w:rPr>
        <w:rFonts w:ascii="Calibri" w:cs="Calibri" w:eastAsia="Calibri" w:hAnsi="Calibri"/>
        <w:color w:val="6B7280"/>
        <w:sz w:val="19"/>
        <w:szCs w:val="19"/>
      </w:rPr>
      <w:t xml:space="preserve">Aegis PQSynQ  —  Software Reference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B4FE" w:sz="6" w:space="1"/>
      </w:pBdr>
      <w:spacing w:after="160" w:before="320"/>
      <w:outlineLvl w:val="0"/>
    </w:pPr>
    <w:rPr>
      <w:rFonts w:ascii="Calibri" w:cs="Calibri" w:eastAsia="Calibri" w:hAnsi="Calibri"/>
      <w:b/>
      <w:bCs/>
      <w:color w:val="6B21A8"/>
      <w:sz w:val="40"/>
      <w:szCs w:val="40"/>
    </w:rPr>
  </w:style>
  <w:style w:type="paragraph" w:styleId="Heading2">
    <w:name w:val="Heading 2"/>
    <w:basedOn w:val="Normal"/>
    <w:next w:val="Normal"/>
    <w:qFormat/>
    <w:pPr>
      <w:spacing w:after="120" w:before="240"/>
      <w:outlineLvl w:val="1"/>
    </w:pPr>
    <w:rPr>
      <w:rFonts w:ascii="Calibri" w:cs="Calibri" w:eastAsia="Calibri" w:hAnsi="Calibri"/>
      <w:b/>
      <w:bCs/>
      <w:color w:val="2D1B69"/>
      <w:sz w:val="32"/>
      <w:szCs w:val="32"/>
    </w:rPr>
  </w:style>
  <w:style w:type="paragraph" w:styleId="Heading3">
    <w:name w:val="Heading 3"/>
    <w:basedOn w:val="Normal"/>
    <w:next w:val="Normal"/>
    <w:qFormat/>
    <w:pPr>
      <w:spacing w:after="80" w:before="160"/>
      <w:outlineLvl w:val="2"/>
    </w:pPr>
    <w:rPr>
      <w:rFonts w:ascii="Calibri" w:cs="Calibri" w:eastAsia="Calibri" w:hAnsi="Calibri"/>
      <w:b/>
      <w:bCs/>
      <w:color w:val="6B21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2026-04-16T01:14:01.850Z</dcterms:created>
  <dcterms:modified xsi:type="dcterms:W3CDTF">2026-04-16T01:14:01.850Z</dcterms:modified>
</cp:coreProperties>
</file>

<file path=docProps/custom.xml><?xml version="1.0" encoding="utf-8"?>
<Properties xmlns="http://schemas.openxmlformats.org/officeDocument/2006/custom-properties" xmlns:vt="http://schemas.openxmlformats.org/officeDocument/2006/docPropsVTypes"/>
</file>