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D3F5F"/>
          <w:sz w:val="52"/>
          <w:szCs w:val="52"/>
        </w:rPr>
        <w:t xml:space="preserve">PROJECT SENTINEL</w:t>
      </w:r>
    </w:p>
    <w:p>
      <w:pPr>
        <w:spacing w:before="0" w:after="80"/>
      </w:pPr>
      <w:r>
        <w:rPr>
          <w:rFonts w:ascii="Arial" w:cs="Arial" w:eastAsia="Arial" w:hAnsi="Arial"/>
          <w:b/>
          <w:bCs/>
          <w:color w:val="1A2B3C"/>
          <w:sz w:val="30"/>
          <w:szCs w:val="30"/>
        </w:rPr>
        <w:t xml:space="preserve">Phase 1 Pre-Registration Document</w:t>
      </w:r>
    </w:p>
    <w:p>
      <w:pPr>
        <w:pBdr>
          <w:bottom w:val="single" w:color="0D3F5F" w:sz="8" w:space="6"/>
        </w:pBdr>
        <w:spacing w:before="0" w:after="200"/>
      </w:pPr>
      <w:r>
        <w:rPr>
          <w:rFonts w:ascii="Arial" w:cs="Arial" w:eastAsia="Arial" w:hAnsi="Arial"/>
          <w:i/>
          <w:iCs/>
          <w:color w:val="888888"/>
          <w:sz w:val="20"/>
          <w:szCs w:val="20"/>
        </w:rPr>
        <w:t xml:space="preserve">Environmental Baseline Correlation Study  •  Solar Activity &amp; Global Seismicity  •  2001–2026</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Sentinel Phase 1 Pre-Registration</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 FINAL (do not modify after commit)</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6, 2026</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Synexis Project</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github.com/synexisproject-bit/project-sentinel</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PRE-REGISTRATION — Locked before first analysis query</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6B1A1A"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4D6D6" w:val="clear"/>
            <w:tcMar>
              <w:top w:type="dxa" w:w="100"/>
              <w:left w:type="dxa" w:w="200"/>
              <w:bottom w:type="dxa" w:w="100"/>
              <w:right w:type="dxa" w:w="200"/>
            </w:tcMar>
          </w:tcPr>
          <w:p>
            <w:pPr>
              <w:spacing w:before="80" w:after="60"/>
            </w:pPr>
            <w:r>
              <w:rPr>
                <w:rFonts w:ascii="Arial" w:cs="Arial" w:eastAsia="Arial" w:hAnsi="Arial"/>
                <w:b/>
                <w:bCs/>
                <w:color w:val="6B1A1A"/>
                <w:sz w:val="20"/>
                <w:szCs w:val="20"/>
              </w:rPr>
              <w:t xml:space="preserve">⚠  IMPORTANT: This document must be committed to GitHub BEFORE any correlation queries are run.</w:t>
            </w:r>
          </w:p>
          <w:p>
            <w:pPr>
              <w:spacing w:before="60" w:after="80"/>
            </w:pPr>
            <w:r>
              <w:rPr>
                <w:rFonts w:ascii="Arial" w:cs="Arial" w:eastAsia="Arial" w:hAnsi="Arial"/>
                <w:color w:val="222222"/>
                <w:sz w:val="22"/>
                <w:szCs w:val="22"/>
              </w:rPr>
              <w:t xml:space="preserve">The purpose of pre-registration is to prevent hypothesis fishing and post-hoc rationalization. Once this document is committed, the hypotheses, variables, lag windows, outcome definitions, and interpretation thresholds stated herein are locked. Any deviation from this plan must be documented as exploratory analysis and clearly separated from confirmatory results.</w:t>
            </w:r>
          </w:p>
          <w:p>
            <w:pPr>
              <w:spacing w:before="60" w:after="80"/>
            </w:pPr>
            <w:r>
              <w:rPr>
                <w:rFonts w:ascii="Arial" w:cs="Arial" w:eastAsia="Arial" w:hAnsi="Arial"/>
                <w:color w:val="222222"/>
                <w:sz w:val="22"/>
                <w:szCs w:val="22"/>
              </w:rPr>
              <w:t xml:space="preserve">Timestamp of GitHub commit serves as proof of pre-registration. Do not run the Phase 1 correlation query notebook until commit hash is recorded.</w:t>
            </w:r>
          </w:p>
          <w:p>
            <w:pPr>
              <w:spacing w:before="60" w:after="0"/>
            </w:pPr>
            <w:r>
              <w:rPr>
                <w:sz w:val="18"/>
                <w:szCs w:val="18"/>
              </w:rPr>
              <w:t xml:space="preserve"/>
            </w:r>
          </w:p>
        </w:tc>
      </w:tr>
    </w:tbl>
    <w:p>
      <w:pPr>
        <w:spacing w:before="0" w:after="0"/>
      </w:pPr>
      <w:r>
        <w:rPr>
          <w:sz w:val="22"/>
          <w:szCs w:val="22"/>
        </w:rPr>
        <w:t xml:space="preserve"/>
      </w:r>
    </w:p>
    <w:p>
      <w:pPr>
        <w:pStyle w:val="Heading1"/>
        <w:pBdr>
          <w:bottom w:val="single" w:color="0D3F5F" w:sz="6" w:space="4"/>
        </w:pBdr>
        <w:spacing w:before="400" w:after="120"/>
      </w:pPr>
      <w:r>
        <w:rPr>
          <w:rFonts w:ascii="Arial" w:cs="Arial" w:eastAsia="Arial" w:hAnsi="Arial"/>
          <w:b/>
          <w:bCs/>
          <w:color w:val="0D3F5F"/>
          <w:sz w:val="30"/>
          <w:szCs w:val="30"/>
        </w:rPr>
        <w:t xml:space="preserve">1.  Background &amp; Motivation</w:t>
      </w:r>
    </w:p>
    <w:p>
      <w:pPr>
        <w:spacing w:before="60" w:after="80"/>
      </w:pPr>
      <w:r>
        <w:rPr>
          <w:rFonts w:ascii="Arial" w:cs="Arial" w:eastAsia="Arial" w:hAnsi="Arial"/>
          <w:color w:val="222222"/>
          <w:sz w:val="22"/>
          <w:szCs w:val="22"/>
        </w:rPr>
        <w:t xml:space="preserve">Project Sentinel is a research initiative of The Synexis Project. Phase 1 tests whether environmental signals — specifically solar and geomagnetic variables — provide measurable probabilistic lift for predicting elevated seismic activity in the 0–14 days following observed signal anomalies.</w:t>
      </w:r>
    </w:p>
    <w:p>
      <w:pPr>
        <w:spacing w:before="0" w:after="0"/>
      </w:pPr>
      <w:r>
        <w:rPr>
          <w:sz w:val="22"/>
          <w:szCs w:val="22"/>
        </w:rPr>
        <w:t xml:space="preserve"/>
      </w:r>
    </w:p>
    <w:p>
      <w:pPr>
        <w:spacing w:before="60" w:after="80"/>
      </w:pPr>
      <w:r>
        <w:rPr>
          <w:rFonts w:ascii="Arial" w:cs="Arial" w:eastAsia="Arial" w:hAnsi="Arial"/>
          <w:color w:val="222222"/>
          <w:sz w:val="22"/>
          <w:szCs w:val="22"/>
        </w:rPr>
        <w:t xml:space="preserve">This hypothesis is grounded in a growing body of peer-reviewed literature (Marchetti et al. 2020; Chen et al. 2020, 2025; multiple 2024–2025 TEC studies) that suggests, but does not conclusively establish, coupling between solar-geomagnetic conditions and global seismicity. Significant contradictory evidence also exists (Akhoondzadeh et al. 2022; Love &amp; Thomas 2013). Phase 1 aims to test this hypothesis rigorously using a large historical dataset with prospective-style evaluation.</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6B1A1A"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4D6D6" w:val="clear"/>
            <w:tcMar>
              <w:top w:type="dxa" w:w="100"/>
              <w:left w:type="dxa" w:w="200"/>
              <w:bottom w:type="dxa" w:w="100"/>
              <w:right w:type="dxa" w:w="200"/>
            </w:tcMar>
          </w:tcPr>
          <w:p>
            <w:pPr>
              <w:spacing w:before="80" w:after="60"/>
            </w:pPr>
            <w:r>
              <w:rPr>
                <w:rFonts w:ascii="Arial" w:cs="Arial" w:eastAsia="Arial" w:hAnsi="Arial"/>
                <w:b/>
                <w:bCs/>
                <w:color w:val="6B1A1A"/>
                <w:sz w:val="20"/>
                <w:szCs w:val="20"/>
              </w:rPr>
              <w:t xml:space="preserve">What we are NOT claiming</w:t>
            </w:r>
          </w:p>
          <w:p>
            <w:pPr>
              <w:pStyle w:val="ListParagraph"/>
              <w:numPr>
                <w:ilvl w:val="0"/>
                <w:numId w:val="2"/>
              </w:numPr>
              <w:spacing w:before="40" w:after="40"/>
            </w:pPr>
            <w:r>
              <w:rPr>
                <w:rFonts w:ascii="Arial" w:cs="Arial" w:eastAsia="Arial" w:hAnsi="Arial"/>
                <w:color w:val="222222"/>
                <w:sz w:val="22"/>
                <w:szCs w:val="22"/>
              </w:rPr>
              <w:t xml:space="preserve">We are not claiming the ability to predict earthquakes</w:t>
            </w:r>
          </w:p>
          <w:p>
            <w:pPr>
              <w:pStyle w:val="ListParagraph"/>
              <w:numPr>
                <w:ilvl w:val="0"/>
                <w:numId w:val="2"/>
              </w:numPr>
              <w:spacing w:before="40" w:after="40"/>
            </w:pPr>
            <w:r>
              <w:rPr>
                <w:rFonts w:ascii="Arial" w:cs="Arial" w:eastAsia="Arial" w:hAnsi="Arial"/>
                <w:color w:val="222222"/>
                <w:sz w:val="22"/>
                <w:szCs w:val="22"/>
              </w:rPr>
              <w:t xml:space="preserve">We are not claiming a causal mechanism exists</w:t>
            </w:r>
          </w:p>
          <w:p>
            <w:pPr>
              <w:pStyle w:val="ListParagraph"/>
              <w:numPr>
                <w:ilvl w:val="0"/>
                <w:numId w:val="2"/>
              </w:numPr>
              <w:spacing w:before="40" w:after="40"/>
            </w:pPr>
            <w:r>
              <w:rPr>
                <w:rFonts w:ascii="Arial" w:cs="Arial" w:eastAsia="Arial" w:hAnsi="Arial"/>
                <w:color w:val="222222"/>
                <w:sz w:val="22"/>
                <w:szCs w:val="22"/>
              </w:rPr>
              <w:t xml:space="preserve">We are not claiming this work is operationally useful</w:t>
            </w:r>
          </w:p>
          <w:p>
            <w:pPr>
              <w:pStyle w:val="ListParagraph"/>
              <w:numPr>
                <w:ilvl w:val="0"/>
                <w:numId w:val="2"/>
              </w:numPr>
              <w:spacing w:before="40" w:after="40"/>
            </w:pPr>
            <w:r>
              <w:rPr>
                <w:rFonts w:ascii="Arial" w:cs="Arial" w:eastAsia="Arial" w:hAnsi="Arial"/>
                <w:color w:val="222222"/>
                <w:sz w:val="22"/>
                <w:szCs w:val="22"/>
              </w:rPr>
              <w:t xml:space="preserve">We are not testing the noetic signal layer — that is Phase 2</w:t>
            </w:r>
          </w:p>
          <w:p>
            <w:pPr>
              <w:spacing w:before="60" w:after="0"/>
            </w:pPr>
            <w:r>
              <w:rPr>
                <w:sz w:val="18"/>
                <w:szCs w:val="18"/>
              </w:rPr>
              <w:t xml:space="preserve"/>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A5C3A"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D6EFE0" w:val="clear"/>
            <w:tcMar>
              <w:top w:type="dxa" w:w="100"/>
              <w:left w:type="dxa" w:w="200"/>
              <w:bottom w:type="dxa" w:w="100"/>
              <w:right w:type="dxa" w:w="200"/>
            </w:tcMar>
          </w:tcPr>
          <w:p>
            <w:pPr>
              <w:spacing w:before="80" w:after="60"/>
            </w:pPr>
            <w:r>
              <w:rPr>
                <w:rFonts w:ascii="Arial" w:cs="Arial" w:eastAsia="Arial" w:hAnsi="Arial"/>
                <w:b/>
                <w:bCs/>
                <w:color w:val="1A5C3A"/>
                <w:sz w:val="20"/>
                <w:szCs w:val="20"/>
              </w:rPr>
              <w:t xml:space="preserve">What we ARE testing</w:t>
            </w:r>
          </w:p>
          <w:p>
            <w:pPr>
              <w:pStyle w:val="ListParagraph"/>
              <w:numPr>
                <w:ilvl w:val="0"/>
                <w:numId w:val="2"/>
              </w:numPr>
              <w:spacing w:before="40" w:after="40"/>
            </w:pPr>
            <w:r>
              <w:rPr>
                <w:rFonts w:ascii="Arial" w:cs="Arial" w:eastAsia="Arial" w:hAnsi="Arial"/>
                <w:color w:val="222222"/>
                <w:sz w:val="22"/>
                <w:szCs w:val="22"/>
              </w:rPr>
              <w:t xml:space="preserve">Whether solar/geomagnetic variables provide statistically significant lift over baseline models for predicting M≥6.0 earthquake days</w:t>
            </w:r>
          </w:p>
          <w:p>
            <w:pPr>
              <w:pStyle w:val="ListParagraph"/>
              <w:numPr>
                <w:ilvl w:val="0"/>
                <w:numId w:val="2"/>
              </w:numPr>
              <w:spacing w:before="40" w:after="40"/>
            </w:pPr>
            <w:r>
              <w:rPr>
                <w:rFonts w:ascii="Arial" w:cs="Arial" w:eastAsia="Arial" w:hAnsi="Arial"/>
                <w:color w:val="222222"/>
                <w:sz w:val="22"/>
                <w:szCs w:val="22"/>
              </w:rPr>
              <w:t xml:space="preserve">Whether any lift is consistent across lag windows, solar cycle phases, and tectonic regions</w:t>
            </w:r>
          </w:p>
          <w:p>
            <w:pPr>
              <w:pStyle w:val="ListParagraph"/>
              <w:numPr>
                <w:ilvl w:val="0"/>
                <w:numId w:val="2"/>
              </w:numPr>
              <w:spacing w:before="40" w:after="40"/>
            </w:pPr>
            <w:r>
              <w:rPr>
                <w:rFonts w:ascii="Arial" w:cs="Arial" w:eastAsia="Arial" w:hAnsi="Arial"/>
                <w:color w:val="222222"/>
                <w:sz w:val="22"/>
                <w:szCs w:val="22"/>
              </w:rPr>
              <w:t xml:space="preserve">Whether the magnitude of any lift clears pre-defined thresholds for scientific meaningfulness</w:t>
            </w:r>
          </w:p>
          <w:p>
            <w:pPr>
              <w:spacing w:before="60" w:after="0"/>
            </w:pPr>
            <w:r>
              <w:rPr>
                <w:sz w:val="18"/>
                <w:szCs w:val="18"/>
              </w:rPr>
              <w:t xml:space="preserve"/>
            </w:r>
          </w:p>
        </w:tc>
      </w:tr>
    </w:tbl>
    <w:p>
      <w:pPr>
        <w:spacing w:before="0" w:after="0"/>
      </w:pPr>
      <w:r>
        <w:rPr>
          <w:sz w:val="22"/>
          <w:szCs w:val="22"/>
        </w:rPr>
        <w:t xml:space="preserve"/>
      </w:r>
    </w:p>
    <w:p>
      <w:pPr>
        <w:pStyle w:val="Heading1"/>
        <w:pBdr>
          <w:bottom w:val="single" w:color="0D3F5F" w:sz="6" w:space="4"/>
        </w:pBdr>
        <w:spacing w:before="400" w:after="120"/>
      </w:pPr>
      <w:r>
        <w:rPr>
          <w:rFonts w:ascii="Arial" w:cs="Arial" w:eastAsia="Arial" w:hAnsi="Arial"/>
          <w:b/>
          <w:bCs/>
          <w:color w:val="0D3F5F"/>
          <w:sz w:val="30"/>
          <w:szCs w:val="30"/>
        </w:rPr>
        <w:t xml:space="preserve">2.  Dataset Description</w:t>
      </w:r>
    </w:p>
    <w:p>
      <w:pPr>
        <w:pStyle w:val="Heading2"/>
        <w:spacing w:before="280" w:after="80"/>
      </w:pPr>
      <w:r>
        <w:rPr>
          <w:rFonts w:ascii="Arial" w:cs="Arial" w:eastAsia="Arial" w:hAnsi="Arial"/>
          <w:b/>
          <w:bCs/>
          <w:color w:val="1A2B3C"/>
          <w:sz w:val="24"/>
          <w:szCs w:val="24"/>
        </w:rPr>
        <w:t xml:space="preserve">2.1  Earthquake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USGS ComCat via sentinel_groundtruth.master_earthquakes</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Coverage</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Global, 2001–2026</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Magnitude 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M4.0+ (all events); primary outcome uses M≥6.0</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Total events</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350,225</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Region grid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494 cells at 10°×10° global grid</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Daily feature rows</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201,455 (region × day combinations)</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Duplicate check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duplicates confirmed pre-registration</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Table</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sentinel_eval.phase1_dataset (VIEW)</w:t>
            </w:r>
          </w:p>
        </w:tc>
      </w:tr>
    </w:tbl>
    <w:p>
      <w:pPr>
        <w:spacing w:before="0" w:after="0"/>
      </w:pPr>
      <w:r>
        <w:rPr>
          <w:sz w:val="22"/>
          <w:szCs w:val="22"/>
        </w:rPr>
        <w:t xml:space="preserve"/>
      </w:r>
    </w:p>
    <w:p>
      <w:pPr>
        <w:pStyle w:val="Heading2"/>
        <w:spacing w:before="280" w:after="80"/>
      </w:pPr>
      <w:r>
        <w:rPr>
          <w:rFonts w:ascii="Arial" w:cs="Arial" w:eastAsia="Arial" w:hAnsi="Arial"/>
          <w:b/>
          <w:bCs/>
          <w:color w:val="1A2B3C"/>
          <w:sz w:val="24"/>
          <w:szCs w:val="24"/>
        </w:rPr>
        <w:t xml:space="preserve">2.2  Environmental Variables</w:t>
      </w:r>
    </w:p>
    <w:p>
      <w:pPr>
        <w:spacing w:before="60" w:after="80"/>
      </w:pPr>
      <w:r>
        <w:rPr>
          <w:rFonts w:ascii="Arial" w:cs="Arial" w:eastAsia="Arial" w:hAnsi="Arial"/>
          <w:color w:val="222222"/>
          <w:sz w:val="22"/>
          <w:szCs w:val="22"/>
        </w:rPr>
        <w:t xml:space="preserve">All environmental variables are stored in sentinel_features.env_daily. The following variables are pre-registered for testing:</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20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20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Lag Windows Tested</w:t>
            </w:r>
          </w:p>
        </w:tc>
        <w:tc>
          <w:tcPr>
            <w:tcW w:type="dxa" w:w="276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Hypothesis Direction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Kp index (max)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NASA OMNIWeb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0–3d, 4–7d, 8–14d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Higher Kp → elevated seismicity</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Kp index (mean)</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NASA OMNIWeb</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0–3d, 4–7d, 8–14d</w:t>
            </w:r>
          </w:p>
        </w:tc>
        <w:tc>
          <w:tcPr>
            <w:tcW w:type="dxa" w:w="2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Higher Kp → elevated seismicity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Solar wind speed (mean)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NASA OMNIWeb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0–3d, 4–7d, 8–14d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Higher speed → elevated seismicity</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Solar wind density (mean)</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NASA OMNIWeb</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0–3d, 4–7d, 8–14d</w:t>
            </w:r>
          </w:p>
        </w:tc>
        <w:tc>
          <w:tcPr>
            <w:tcW w:type="dxa" w:w="2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Higher density → elevated seismicity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Bz component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NASA OMNIWeb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0–3d, 4–7d, 8–14d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More negative Bz → elevated seismicity</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X-ray flux class (max)</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NOAA NGDC / SWPC</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0–3d, 4–7d, 8–14d</w:t>
            </w:r>
          </w:p>
        </w:tc>
        <w:tc>
          <w:tcPr>
            <w:tcW w:type="dxa" w:w="2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Higher flare class → elevated seismicity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M-flare flag (binary)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NOAA NGDC / SWPC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0–3d, 4–7d, 8–14d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M-class or higher → elevated seismicity</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X-flare flag (binary)</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NOAA NGDC / SWPC</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0–3d, 4–7d, 8–14d</w:t>
            </w:r>
          </w:p>
        </w:tc>
        <w:tc>
          <w:tcPr>
            <w:tcW w:type="dxa" w:w="2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222222"/>
                <w:sz w:val="19"/>
                <w:szCs w:val="19"/>
              </w:rPr>
              <w:t xml:space="preserve">X-class flare → elevated seismicity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Solar wind proton density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NASA OMNIWeb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0–3d, 4–7d, 8–14d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Higher density → elevated seismicity (per Marchetti 2020)</w:t>
            </w:r>
          </w:p>
        </w:tc>
      </w:tr>
    </w:tbl>
    <w:p>
      <w:pPr>
        <w:spacing w:before="0" w:after="0"/>
      </w:pPr>
      <w:r>
        <w:rPr>
          <w:sz w:val="22"/>
          <w:szCs w:val="22"/>
        </w:rPr>
        <w:t xml:space="preserve"/>
      </w:r>
    </w:p>
    <w:p>
      <w:pPr>
        <w:spacing w:before="60" w:after="80"/>
      </w:pPr>
      <w:r>
        <w:rPr>
          <w:rFonts w:ascii="Arial" w:cs="Arial" w:eastAsia="Arial" w:hAnsi="Arial"/>
          <w:b/>
          <w:bCs/>
          <w:color w:val="222222"/>
          <w:sz w:val="22"/>
          <w:szCs w:val="22"/>
        </w:rPr>
        <w:t xml:space="preserve">Note: </w:t>
      </w:r>
      <w:r>
        <w:rPr>
          <w:rFonts w:ascii="Arial" w:cs="Arial" w:eastAsia="Arial" w:hAnsi="Arial"/>
          <w:color w:val="222222"/>
          <w:sz w:val="22"/>
          <w:szCs w:val="22"/>
        </w:rPr>
        <w:t xml:space="preserve">Electron flux (GOES), CME flags, and SEP flags (DONKI) will be added in the next backfill session before modeling begins. If available, they will be tested under the same lag windows above. If unavailable at model time, they will be documented as deferred to a follow-on study.</w:t>
      </w:r>
    </w:p>
    <w:p>
      <w:pPr>
        <w:spacing w:before="0" w:after="0"/>
      </w:pPr>
      <w:r>
        <w:rPr>
          <w:sz w:val="22"/>
          <w:szCs w:val="22"/>
        </w:rPr>
        <w:t xml:space="preserve"/>
      </w:r>
    </w:p>
    <w:p>
      <w:pPr>
        <w:pStyle w:val="Heading2"/>
        <w:spacing w:before="280" w:after="80"/>
      </w:pPr>
      <w:r>
        <w:rPr>
          <w:rFonts w:ascii="Arial" w:cs="Arial" w:eastAsia="Arial" w:hAnsi="Arial"/>
          <w:b/>
          <w:bCs/>
          <w:color w:val="1A2B3C"/>
          <w:sz w:val="24"/>
          <w:szCs w:val="24"/>
        </w:rPr>
        <w:t xml:space="preserve">2.3  Time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Split</w:t>
            </w:r>
          </w:p>
        </w:tc>
        <w:tc>
          <w:tcPr>
            <w:tcW w:type="dxa" w:w="250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Date Range</w:t>
            </w:r>
          </w:p>
        </w:tc>
        <w:tc>
          <w:tcPr>
            <w:tcW w:type="dxa" w:w="200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Proportion</w:t>
            </w:r>
          </w:p>
        </w:tc>
        <w:tc>
          <w:tcPr>
            <w:tcW w:type="dxa" w:w="286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Train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2001 – 2018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69%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Model fitting</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22222"/>
                <w:sz w:val="19"/>
                <w:szCs w:val="19"/>
              </w:rPr>
              <w:t xml:space="preserve">Validate</w:t>
            </w:r>
          </w:p>
        </w:tc>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22222"/>
                <w:sz w:val="19"/>
                <w:szCs w:val="19"/>
              </w:rPr>
              <w:t xml:space="preserve">2019 – 2022</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22222"/>
                <w:sz w:val="19"/>
                <w:szCs w:val="19"/>
              </w:rPr>
              <w:t xml:space="preserve">17%</w:t>
            </w:r>
          </w:p>
        </w:tc>
        <w:tc>
          <w:tcPr>
            <w:tcW w:type="dxa" w:w="28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22222"/>
                <w:sz w:val="19"/>
                <w:szCs w:val="19"/>
              </w:rPr>
              <w:t xml:space="preserve">Hyperparameter tuning, early stopping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Test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2023 –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1A1A"/>
                <w:sz w:val="19"/>
                <w:szCs w:val="19"/>
              </w:rPr>
              <w:t xml:space="preserve">Final evaluation only — do not inspect until model is locked</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5C3D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FF8E0" w:val="clear"/>
            <w:tcMar>
              <w:top w:type="dxa" w:w="100"/>
              <w:left w:type="dxa" w:w="200"/>
              <w:bottom w:type="dxa" w:w="100"/>
              <w:right w:type="dxa" w:w="200"/>
            </w:tcMar>
          </w:tcPr>
          <w:p>
            <w:pPr>
              <w:spacing w:before="80" w:after="60"/>
            </w:pPr>
            <w:r>
              <w:rPr>
                <w:rFonts w:ascii="Arial" w:cs="Arial" w:eastAsia="Arial" w:hAnsi="Arial"/>
                <w:b/>
                <w:bCs/>
                <w:color w:val="5C3D00"/>
                <w:sz w:val="20"/>
                <w:szCs w:val="20"/>
              </w:rPr>
              <w:t xml:space="preserve">Critical rule: The test set (2023–2026) must not be inspected during model development.</w:t>
            </w:r>
          </w:p>
          <w:p>
            <w:pPr>
              <w:spacing w:before="60" w:after="80"/>
            </w:pPr>
            <w:r>
              <w:rPr>
                <w:rFonts w:ascii="Arial" w:cs="Arial" w:eastAsia="Arial" w:hAnsi="Arial"/>
                <w:color w:val="222222"/>
                <w:sz w:val="22"/>
                <w:szCs w:val="22"/>
              </w:rPr>
              <w:t xml:space="preserve">No exploratory queries, no distribution checks, no result previews against test-period data until the model architecture and hyperparameters are fully locked on train/validate only. Any violation of this rule must be documented.</w:t>
            </w:r>
          </w:p>
          <w:p>
            <w:pPr>
              <w:spacing w:before="60" w:after="0"/>
            </w:pPr>
            <w:r>
              <w:rPr>
                <w:sz w:val="18"/>
                <w:szCs w:val="18"/>
              </w:rPr>
              <w:t xml:space="preserve"/>
            </w:r>
          </w:p>
        </w:tc>
      </w:tr>
    </w:tbl>
    <w:p>
      <w:pPr>
        <w:spacing w:before="0" w:after="0"/>
      </w:pPr>
      <w:r>
        <w:rPr>
          <w:sz w:val="22"/>
          <w:szCs w:val="22"/>
        </w:rPr>
        <w:t xml:space="preserve"/>
      </w:r>
    </w:p>
    <w:p>
      <w:pPr>
        <w:pStyle w:val="Heading1"/>
        <w:pBdr>
          <w:bottom w:val="single" w:color="0D3F5F" w:sz="6" w:space="4"/>
        </w:pBdr>
        <w:spacing w:before="400" w:after="120"/>
      </w:pPr>
      <w:r>
        <w:rPr>
          <w:rFonts w:ascii="Arial" w:cs="Arial" w:eastAsia="Arial" w:hAnsi="Arial"/>
          <w:b/>
          <w:bCs/>
          <w:color w:val="0D3F5F"/>
          <w:sz w:val="30"/>
          <w:szCs w:val="30"/>
        </w:rPr>
        <w:t xml:space="preserve">3.  Primary Outcome Definition</w:t>
      </w:r>
    </w:p>
    <w:p>
      <w:pPr>
        <w:pStyle w:val="Heading2"/>
        <w:spacing w:before="280" w:after="80"/>
      </w:pPr>
      <w:r>
        <w:rPr>
          <w:rFonts w:ascii="Arial" w:cs="Arial" w:eastAsia="Arial" w:hAnsi="Arial"/>
          <w:b/>
          <w:bCs/>
          <w:color w:val="1A2B3C"/>
          <w:sz w:val="24"/>
          <w:szCs w:val="24"/>
        </w:rPr>
        <w:t xml:space="preserve">3.1  Binary Label</w:t>
      </w:r>
    </w:p>
    <w:p>
      <w:pPr>
        <w:spacing w:before="60" w:after="80"/>
      </w:pPr>
      <w:r>
        <w:rPr>
          <w:rFonts w:ascii="Arial" w:cs="Arial" w:eastAsia="Arial" w:hAnsi="Arial"/>
          <w:b/>
          <w:bCs/>
          <w:color w:val="0D3F5F"/>
          <w:sz w:val="22"/>
          <w:szCs w:val="22"/>
        </w:rPr>
        <w:t xml:space="preserve">y = 1 </w:t>
      </w:r>
      <w:r>
        <w:rPr>
          <w:rFonts w:ascii="Arial" w:cs="Arial" w:eastAsia="Arial" w:hAnsi="Arial"/>
          <w:color w:val="222222"/>
          <w:sz w:val="22"/>
          <w:szCs w:val="22"/>
        </w:rPr>
        <w:t xml:space="preserve">if one or more earthquakes of M≥6.0 occur within the 10°×10° region cell in the 7-day window following the feature date.</w:t>
      </w:r>
    </w:p>
    <w:p>
      <w:pPr>
        <w:spacing w:before="60" w:after="80"/>
      </w:pPr>
      <w:r>
        <w:rPr>
          <w:rFonts w:ascii="Arial" w:cs="Arial" w:eastAsia="Arial" w:hAnsi="Arial"/>
          <w:b/>
          <w:bCs/>
          <w:color w:val="0D3F5F"/>
          <w:sz w:val="22"/>
          <w:szCs w:val="22"/>
        </w:rPr>
        <w:t xml:space="preserve">y = 0 </w:t>
      </w:r>
      <w:r>
        <w:rPr>
          <w:rFonts w:ascii="Arial" w:cs="Arial" w:eastAsia="Arial" w:hAnsi="Arial"/>
          <w:color w:val="222222"/>
          <w:sz w:val="22"/>
          <w:szCs w:val="22"/>
        </w:rPr>
        <w:t xml:space="preserve">otherwise.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Positive rate — train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4.52%</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Positive rate — validate</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4.20%</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Positive rate —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3.87%</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Labeling direction</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Strictly forward-looking: D+1 through D+7 only</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Leakage check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Confirmed: no same-day or prior-day event data in features</w:t>
            </w:r>
          </w:p>
        </w:tc>
      </w:tr>
    </w:tbl>
    <w:p>
      <w:pPr>
        <w:spacing w:before="0" w:after="0"/>
      </w:pPr>
      <w:r>
        <w:rPr>
          <w:sz w:val="22"/>
          <w:szCs w:val="22"/>
        </w:rPr>
        <w:t xml:space="preserve"/>
      </w:r>
    </w:p>
    <w:p>
      <w:pPr>
        <w:pStyle w:val="Heading2"/>
        <w:spacing w:before="280" w:after="80"/>
      </w:pPr>
      <w:r>
        <w:rPr>
          <w:rFonts w:ascii="Arial" w:cs="Arial" w:eastAsia="Arial" w:hAnsi="Arial"/>
          <w:b/>
          <w:bCs/>
          <w:color w:val="1A2B3C"/>
          <w:sz w:val="24"/>
          <w:szCs w:val="24"/>
        </w:rPr>
        <w:t xml:space="preserve">3.2  Secondary Outcomes</w:t>
      </w:r>
    </w:p>
    <w:p>
      <w:pPr>
        <w:spacing w:before="60" w:after="80"/>
      </w:pPr>
      <w:r>
        <w:rPr>
          <w:rFonts w:ascii="Arial" w:cs="Arial" w:eastAsia="Arial" w:hAnsi="Arial"/>
          <w:color w:val="222222"/>
          <w:sz w:val="22"/>
          <w:szCs w:val="22"/>
        </w:rPr>
        <w:t xml:space="preserve">The following secondary outcomes will also be evaluated but are not the primary basis for accepting or rejecting the hypothesis:</w:t>
      </w:r>
    </w:p>
    <w:p>
      <w:pPr>
        <w:pStyle w:val="ListParagraph"/>
        <w:numPr>
          <w:ilvl w:val="0"/>
          <w:numId w:val="2"/>
        </w:numPr>
        <w:spacing w:before="40" w:after="40"/>
      </w:pPr>
      <w:r>
        <w:rPr>
          <w:rFonts w:ascii="Arial" w:cs="Arial" w:eastAsia="Arial" w:hAnsi="Arial"/>
          <w:b/>
          <w:bCs/>
          <w:color w:val="222222"/>
          <w:sz w:val="22"/>
          <w:szCs w:val="22"/>
        </w:rPr>
        <w:t xml:space="preserve">M≥5.5 label threshold</w:t>
      </w:r>
      <w:r>
        <w:rPr>
          <w:rFonts w:ascii="Arial" w:cs="Arial" w:eastAsia="Arial" w:hAnsi="Arial"/>
          <w:color w:val="222222"/>
          <w:sz w:val="22"/>
          <w:szCs w:val="22"/>
        </w:rPr>
        <w:t xml:space="preserve"> — to test whether effect is stronger for lower magnitude threshold</w:t>
      </w:r>
    </w:p>
    <w:p>
      <w:pPr>
        <w:pStyle w:val="ListParagraph"/>
        <w:numPr>
          <w:ilvl w:val="0"/>
          <w:numId w:val="2"/>
        </w:numPr>
        <w:spacing w:before="40" w:after="40"/>
      </w:pPr>
      <w:r>
        <w:rPr>
          <w:rFonts w:ascii="Arial" w:cs="Arial" w:eastAsia="Arial" w:hAnsi="Arial"/>
          <w:b/>
          <w:bCs/>
          <w:color w:val="222222"/>
          <w:sz w:val="22"/>
          <w:szCs w:val="22"/>
        </w:rPr>
        <w:t xml:space="preserve">Subduction zone subsample</w:t>
      </w:r>
      <w:r>
        <w:rPr>
          <w:rFonts w:ascii="Arial" w:cs="Arial" w:eastAsia="Arial" w:hAnsi="Arial"/>
          <w:color w:val="222222"/>
          <w:sz w:val="22"/>
          <w:szCs w:val="22"/>
        </w:rPr>
        <w:t xml:space="preserve"> — regions with high historical seismicity, tested separately</w:t>
      </w:r>
    </w:p>
    <w:p>
      <w:pPr>
        <w:pStyle w:val="ListParagraph"/>
        <w:numPr>
          <w:ilvl w:val="0"/>
          <w:numId w:val="2"/>
        </w:numPr>
        <w:spacing w:before="40" w:after="40"/>
      </w:pPr>
      <w:r>
        <w:rPr>
          <w:rFonts w:ascii="Arial" w:cs="Arial" w:eastAsia="Arial" w:hAnsi="Arial"/>
          <w:b/>
          <w:bCs/>
          <w:color w:val="222222"/>
          <w:sz w:val="22"/>
          <w:szCs w:val="22"/>
        </w:rPr>
        <w:t xml:space="preserve">Lag window decomposition</w:t>
      </w:r>
      <w:r>
        <w:rPr>
          <w:rFonts w:ascii="Arial" w:cs="Arial" w:eastAsia="Arial" w:hAnsi="Arial"/>
          <w:color w:val="222222"/>
          <w:sz w:val="22"/>
          <w:szCs w:val="22"/>
        </w:rPr>
        <w:t xml:space="preserve"> — does any single lag window (0–3d, 4–7d, 8–14d) dominate?</w:t>
      </w:r>
    </w:p>
    <w:p>
      <w:pPr>
        <w:pStyle w:val="ListParagraph"/>
        <w:numPr>
          <w:ilvl w:val="0"/>
          <w:numId w:val="2"/>
        </w:numPr>
        <w:spacing w:before="40" w:after="40"/>
      </w:pPr>
      <w:r>
        <w:rPr>
          <w:rFonts w:ascii="Arial" w:cs="Arial" w:eastAsia="Arial" w:hAnsi="Arial"/>
          <w:b/>
          <w:bCs/>
          <w:color w:val="222222"/>
          <w:sz w:val="22"/>
          <w:szCs w:val="22"/>
        </w:rPr>
        <w:t xml:space="preserve">Solar cycle phase stratification</w:t>
      </w:r>
      <w:r>
        <w:rPr>
          <w:rFonts w:ascii="Arial" w:cs="Arial" w:eastAsia="Arial" w:hAnsi="Arial"/>
          <w:color w:val="222222"/>
          <w:sz w:val="22"/>
          <w:szCs w:val="22"/>
        </w:rPr>
        <w:t xml:space="preserve"> — does signal differ between solar maximum and minimum years?</w:t>
      </w:r>
    </w:p>
    <w:p>
      <w:pPr>
        <w:spacing w:before="0" w:after="0"/>
      </w:pPr>
      <w:r>
        <w:rPr>
          <w:sz w:val="22"/>
          <w:szCs w:val="22"/>
        </w:rPr>
        <w:t xml:space="preserve"/>
      </w:r>
    </w:p>
    <w:p>
      <w:pPr>
        <w:pStyle w:val="Heading1"/>
        <w:pBdr>
          <w:bottom w:val="single" w:color="0D3F5F" w:sz="6" w:space="4"/>
        </w:pBdr>
        <w:spacing w:before="400" w:after="120"/>
      </w:pPr>
      <w:r>
        <w:rPr>
          <w:rFonts w:ascii="Arial" w:cs="Arial" w:eastAsia="Arial" w:hAnsi="Arial"/>
          <w:b/>
          <w:bCs/>
          <w:color w:val="0D3F5F"/>
          <w:sz w:val="30"/>
          <w:szCs w:val="30"/>
        </w:rPr>
        <w:t xml:space="preserve">4.  Pre-Registered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3F5F"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pPr>
              <w:spacing w:before="80" w:after="60"/>
            </w:pPr>
            <w:r>
              <w:rPr>
                <w:rFonts w:ascii="Arial" w:cs="Arial" w:eastAsia="Arial" w:hAnsi="Arial"/>
                <w:b/>
                <w:bCs/>
                <w:color w:val="0D3F5F"/>
                <w:sz w:val="20"/>
                <w:szCs w:val="20"/>
              </w:rPr>
              <w:t xml:space="preserve">H1 — Primary Hypothesis</w:t>
            </w:r>
          </w:p>
          <w:p>
            <w:pPr>
              <w:spacing w:before="60" w:after="80"/>
            </w:pPr>
            <w:r>
              <w:rPr>
                <w:rFonts w:ascii="Arial" w:cs="Arial" w:eastAsia="Arial" w:hAnsi="Arial"/>
                <w:color w:val="222222"/>
                <w:sz w:val="22"/>
                <w:szCs w:val="22"/>
              </w:rPr>
              <w:t xml:space="preserve">At least one solar/geomagnetic variable in env_daily will provide statistically significant predictive lift (AUROC ≥ 0.58 on the held-out test set) over a persistence baseline for the binary label y = M≥6.0 in the next 7 days, within at least one of the three pre-specified lag windows (0–3d, 4–7d, 8–14d).</w:t>
            </w:r>
          </w:p>
          <w:p>
            <w:pPr>
              <w:spacing w:before="60" w:after="0"/>
            </w:pPr>
            <w:r>
              <w:rPr>
                <w:sz w:val="18"/>
                <w:szCs w:val="18"/>
              </w:rPr>
              <w:t xml:space="preserve"/>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6B1A1A"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4D6D6" w:val="clear"/>
            <w:tcMar>
              <w:top w:type="dxa" w:w="100"/>
              <w:left w:type="dxa" w:w="200"/>
              <w:bottom w:type="dxa" w:w="100"/>
              <w:right w:type="dxa" w:w="200"/>
            </w:tcMar>
          </w:tcPr>
          <w:p>
            <w:pPr>
              <w:spacing w:before="80" w:after="60"/>
            </w:pPr>
            <w:r>
              <w:rPr>
                <w:rFonts w:ascii="Arial" w:cs="Arial" w:eastAsia="Arial" w:hAnsi="Arial"/>
                <w:b/>
                <w:bCs/>
                <w:color w:val="6B1A1A"/>
                <w:sz w:val="20"/>
                <w:szCs w:val="20"/>
              </w:rPr>
              <w:t xml:space="preserve">H0 — Null Hypothesis</w:t>
            </w:r>
          </w:p>
          <w:p>
            <w:pPr>
              <w:spacing w:before="60" w:after="80"/>
            </w:pPr>
            <w:r>
              <w:rPr>
                <w:rFonts w:ascii="Arial" w:cs="Arial" w:eastAsia="Arial" w:hAnsi="Arial"/>
                <w:color w:val="222222"/>
                <w:sz w:val="22"/>
                <w:szCs w:val="22"/>
              </w:rPr>
              <w:t xml:space="preserve">No solar/geomagnetic variable in env_daily provides AUROC ≥ 0.52 over the persistence baseline on the held-out test set. Any apparent correlation is consistent with random chance or known confounds (solar cycle, reporting artifacts).</w:t>
            </w:r>
          </w:p>
          <w:p>
            <w:pPr>
              <w:spacing w:before="60" w:after="0"/>
            </w:pPr>
            <w:r>
              <w:rPr>
                <w:sz w:val="18"/>
                <w:szCs w:val="18"/>
              </w:rPr>
              <w:t xml:space="preserve"/>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5C3D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FF8E0" w:val="clear"/>
            <w:tcMar>
              <w:top w:type="dxa" w:w="100"/>
              <w:left w:type="dxa" w:w="200"/>
              <w:bottom w:type="dxa" w:w="100"/>
              <w:right w:type="dxa" w:w="200"/>
            </w:tcMar>
          </w:tcPr>
          <w:p>
            <w:pPr>
              <w:spacing w:before="80" w:after="60"/>
            </w:pPr>
            <w:r>
              <w:rPr>
                <w:rFonts w:ascii="Arial" w:cs="Arial" w:eastAsia="Arial" w:hAnsi="Arial"/>
                <w:b/>
                <w:bCs/>
                <w:color w:val="5C3D00"/>
                <w:sz w:val="20"/>
                <w:szCs w:val="20"/>
              </w:rPr>
              <w:t xml:space="preserve">H2 — Secondary Hypothesis (Ionospheric — pending data availability)</w:t>
            </w:r>
          </w:p>
          <w:p>
            <w:pPr>
              <w:spacing w:before="60" w:after="80"/>
            </w:pPr>
            <w:r>
              <w:rPr>
                <w:rFonts w:ascii="Arial" w:cs="Arial" w:eastAsia="Arial" w:hAnsi="Arial"/>
                <w:color w:val="222222"/>
                <w:sz w:val="22"/>
                <w:szCs w:val="22"/>
              </w:rPr>
              <w:t xml:space="preserve">Once ionospheric TEC data is integrated (Phase 1b), ionospheric variables will provide additional lift beyond the geomagnetic baseline alone. This hypothesis is pre-registered now but will not be tested until TEC data is available and its own pre-registration addendum is filed.</w:t>
            </w:r>
          </w:p>
          <w:p>
            <w:pPr>
              <w:spacing w:before="60" w:after="0"/>
            </w:pPr>
            <w:r>
              <w:rPr>
                <w:sz w:val="18"/>
                <w:szCs w:val="18"/>
              </w:rPr>
              <w:t xml:space="preserve"/>
            </w:r>
          </w:p>
        </w:tc>
      </w:tr>
    </w:tbl>
    <w:p>
      <w:pPr>
        <w:spacing w:before="0" w:after="0"/>
      </w:pPr>
      <w:r>
        <w:rPr>
          <w:sz w:val="22"/>
          <w:szCs w:val="22"/>
        </w:rPr>
        <w:t xml:space="preserve"/>
      </w:r>
    </w:p>
    <w:p>
      <w:pPr>
        <w:pStyle w:val="Heading1"/>
        <w:pBdr>
          <w:bottom w:val="single" w:color="0D3F5F" w:sz="6" w:space="4"/>
        </w:pBdr>
        <w:spacing w:before="400" w:after="120"/>
      </w:pPr>
      <w:r>
        <w:rPr>
          <w:rFonts w:ascii="Arial" w:cs="Arial" w:eastAsia="Arial" w:hAnsi="Arial"/>
          <w:b/>
          <w:bCs/>
          <w:color w:val="0D3F5F"/>
          <w:sz w:val="30"/>
          <w:szCs w:val="30"/>
        </w:rPr>
        <w:t xml:space="preserve">5.  Analysis Plan</w:t>
      </w:r>
    </w:p>
    <w:p>
      <w:pPr>
        <w:pStyle w:val="Heading2"/>
        <w:spacing w:before="280" w:after="80"/>
      </w:pPr>
      <w:r>
        <w:rPr>
          <w:rFonts w:ascii="Arial" w:cs="Arial" w:eastAsia="Arial" w:hAnsi="Arial"/>
          <w:b/>
          <w:bCs/>
          <w:color w:val="1A2B3C"/>
          <w:sz w:val="24"/>
          <w:szCs w:val="24"/>
        </w:rPr>
        <w:t xml:space="preserve">5.1  Step 1 — Exploratory Correlation Analysis (Train Set Only)</w:t>
      </w:r>
    </w:p>
    <w:p>
      <w:pPr>
        <w:spacing w:before="60" w:after="80"/>
      </w:pPr>
      <w:r>
        <w:rPr>
          <w:rFonts w:ascii="Arial" w:cs="Arial" w:eastAsia="Arial" w:hAnsi="Arial"/>
          <w:color w:val="222222"/>
          <w:sz w:val="22"/>
          <w:szCs w:val="22"/>
        </w:rPr>
        <w:t xml:space="preserve">Before model building, run bivariate correlation analysis on the training set only to characterize relationships between each environmental variable and the outcome at each lag window. This step is explicitly exploratory and will be reported as such. Results from this step will NOT be used to select which variables to include in the model — all pre-registered variables will be included.</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5C3D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FF8E0" w:val="clear"/>
            <w:tcMar>
              <w:top w:type="dxa" w:w="100"/>
              <w:left w:type="dxa" w:w="200"/>
              <w:bottom w:type="dxa" w:w="100"/>
              <w:right w:type="dxa" w:w="200"/>
            </w:tcMar>
          </w:tcPr>
          <w:p>
            <w:pPr>
              <w:spacing w:before="80" w:after="60"/>
            </w:pPr>
            <w:r>
              <w:rPr>
                <w:rFonts w:ascii="Arial" w:cs="Arial" w:eastAsia="Arial" w:hAnsi="Arial"/>
                <w:b/>
                <w:bCs/>
                <w:color w:val="5C3D00"/>
                <w:sz w:val="20"/>
                <w:szCs w:val="20"/>
              </w:rPr>
              <w:t xml:space="preserve">Anti-fishing rule</w:t>
            </w:r>
          </w:p>
          <w:p>
            <w:pPr>
              <w:spacing w:before="60" w:after="80"/>
            </w:pPr>
            <w:r>
              <w:rPr>
                <w:rFonts w:ascii="Arial" w:cs="Arial" w:eastAsia="Arial" w:hAnsi="Arial"/>
                <w:color w:val="222222"/>
                <w:sz w:val="22"/>
                <w:szCs w:val="22"/>
              </w:rPr>
              <w:t xml:space="preserve">The 2024 X-flare peak / 2025 seismicity pattern was observed prior to this pre-registration. It is documented here as a known pre-observation. The correlation analysis will report this pattern in context, but the model will not be designed around it. All variables receive equal treatment regardless of any pre-existing observations.</w:t>
            </w:r>
          </w:p>
          <w:p>
            <w:pPr>
              <w:spacing w:before="60" w:after="0"/>
            </w:pPr>
            <w:r>
              <w:rPr>
                <w:sz w:val="18"/>
                <w:szCs w:val="18"/>
              </w:rPr>
              <w:t xml:space="preserve"/>
            </w:r>
          </w:p>
        </w:tc>
      </w:tr>
    </w:tbl>
    <w:p>
      <w:pPr>
        <w:spacing w:before="0" w:after="0"/>
      </w:pPr>
      <w:r>
        <w:rPr>
          <w:sz w:val="22"/>
          <w:szCs w:val="22"/>
        </w:rPr>
        <w:t xml:space="preserve"/>
      </w:r>
    </w:p>
    <w:p>
      <w:pPr>
        <w:pStyle w:val="Heading2"/>
        <w:spacing w:before="280" w:after="80"/>
      </w:pPr>
      <w:r>
        <w:rPr>
          <w:rFonts w:ascii="Arial" w:cs="Arial" w:eastAsia="Arial" w:hAnsi="Arial"/>
          <w:b/>
          <w:bCs/>
          <w:color w:val="1A2B3C"/>
          <w:sz w:val="24"/>
          <w:szCs w:val="24"/>
        </w:rPr>
        <w:t xml:space="preserve">5.2  Step 2 — Baseline Models</w:t>
      </w:r>
    </w:p>
    <w:p>
      <w:pPr>
        <w:spacing w:before="60" w:after="80"/>
      </w:pPr>
      <w:r>
        <w:rPr>
          <w:rFonts w:ascii="Arial" w:cs="Arial" w:eastAsia="Arial" w:hAnsi="Arial"/>
          <w:color w:val="222222"/>
          <w:sz w:val="22"/>
          <w:szCs w:val="22"/>
        </w:rPr>
        <w:t xml:space="preserve">Two baselines will be constructed and must be beaten before any environmental model result is reported as meaningful:</w:t>
      </w:r>
    </w:p>
    <w:p>
      <w:pPr>
        <w:pStyle w:val="ListParagraph"/>
        <w:numPr>
          <w:ilvl w:val="0"/>
          <w:numId w:val="3"/>
        </w:numPr>
        <w:spacing w:before="40" w:after="40"/>
      </w:pPr>
      <w:r>
        <w:rPr>
          <w:rFonts w:ascii="Arial" w:cs="Arial" w:eastAsia="Arial" w:hAnsi="Arial"/>
          <w:b/>
          <w:bCs/>
          <w:color w:val="222222"/>
          <w:sz w:val="22"/>
          <w:szCs w:val="22"/>
        </w:rPr>
        <w:t xml:space="preserve">Persistence baseline: </w:t>
      </w:r>
      <w:r>
        <w:rPr>
          <w:rFonts w:ascii="Arial" w:cs="Arial" w:eastAsia="Arial" w:hAnsi="Arial"/>
          <w:color w:val="222222"/>
          <w:sz w:val="22"/>
          <w:szCs w:val="22"/>
        </w:rPr>
        <w:t xml:space="preserve">P(y=1) estimated from the rolling 30-day earthquake rate in each region. Captures the tendency of seismically active regions to remain active.</w:t>
      </w:r>
    </w:p>
    <w:p>
      <w:pPr>
        <w:pStyle w:val="ListParagraph"/>
        <w:numPr>
          <w:ilvl w:val="0"/>
          <w:numId w:val="3"/>
        </w:numPr>
        <w:spacing w:before="40" w:after="40"/>
      </w:pPr>
      <w:r>
        <w:rPr>
          <w:rFonts w:ascii="Arial" w:cs="Arial" w:eastAsia="Arial" w:hAnsi="Arial"/>
          <w:b/>
          <w:bCs/>
          <w:color w:val="222222"/>
          <w:sz w:val="22"/>
          <w:szCs w:val="22"/>
        </w:rPr>
        <w:t xml:space="preserve">Seasonality baseline: </w:t>
      </w:r>
      <w:r>
        <w:rPr>
          <w:rFonts w:ascii="Arial" w:cs="Arial" w:eastAsia="Arial" w:hAnsi="Arial"/>
          <w:color w:val="222222"/>
          <w:sz w:val="22"/>
          <w:szCs w:val="22"/>
        </w:rPr>
        <w:t xml:space="preserve">P(y=1) estimated from the historical month-of-year and day-of-week distribution per region. Captures any temporal periodicities unrelated to space weather.</w:t>
      </w:r>
    </w:p>
    <w:p>
      <w:pPr>
        <w:spacing w:before="0" w:after="0"/>
      </w:pPr>
      <w:r>
        <w:rPr>
          <w:sz w:val="22"/>
          <w:szCs w:val="22"/>
        </w:rPr>
        <w:t xml:space="preserve"/>
      </w:r>
    </w:p>
    <w:p>
      <w:pPr>
        <w:pStyle w:val="Heading2"/>
        <w:spacing w:before="280" w:after="80"/>
      </w:pPr>
      <w:r>
        <w:rPr>
          <w:rFonts w:ascii="Arial" w:cs="Arial" w:eastAsia="Arial" w:hAnsi="Arial"/>
          <w:b/>
          <w:bCs/>
          <w:color w:val="1A2B3C"/>
          <w:sz w:val="24"/>
          <w:szCs w:val="24"/>
        </w:rPr>
        <w:t xml:space="preserve">5.3  Step 3 — Environmental Model</w:t>
      </w:r>
    </w:p>
    <w:p>
      <w:pPr>
        <w:spacing w:before="60" w:after="80"/>
      </w:pPr>
      <w:r>
        <w:rPr>
          <w:rFonts w:ascii="Arial" w:cs="Arial" w:eastAsia="Arial" w:hAnsi="Arial"/>
          <w:color w:val="222222"/>
          <w:sz w:val="22"/>
          <w:szCs w:val="22"/>
        </w:rPr>
        <w:t xml:space="preserve">A gradient boosted tree model (XGBoost or LightGBM) will be trained on the pre-registered feature set. The following constraints apply:</w:t>
      </w:r>
    </w:p>
    <w:p>
      <w:pPr>
        <w:pStyle w:val="ListParagraph"/>
        <w:numPr>
          <w:ilvl w:val="0"/>
          <w:numId w:val="2"/>
        </w:numPr>
        <w:spacing w:before="40" w:after="40"/>
      </w:pPr>
      <w:r>
        <w:rPr>
          <w:rFonts w:ascii="Arial" w:cs="Arial" w:eastAsia="Arial" w:hAnsi="Arial"/>
          <w:b/>
          <w:bCs/>
          <w:color w:val="222222"/>
          <w:sz w:val="22"/>
          <w:szCs w:val="22"/>
        </w:rPr>
        <w:t xml:space="preserve">No feature engineering beyond the pre-registered variables</w:t>
      </w:r>
      <w:r>
        <w:rPr>
          <w:rFonts w:ascii="Arial" w:cs="Arial" w:eastAsia="Arial" w:hAnsi="Arial"/>
          <w:color w:val="222222"/>
          <w:sz w:val="22"/>
          <w:szCs w:val="22"/>
        </w:rPr>
        <w:t xml:space="preserve"> without documented justification</w:t>
      </w:r>
    </w:p>
    <w:p>
      <w:pPr>
        <w:pStyle w:val="ListParagraph"/>
        <w:numPr>
          <w:ilvl w:val="0"/>
          <w:numId w:val="2"/>
        </w:numPr>
        <w:spacing w:before="40" w:after="40"/>
      </w:pPr>
      <w:r>
        <w:rPr>
          <w:rFonts w:ascii="Arial" w:cs="Arial" w:eastAsia="Arial" w:hAnsi="Arial"/>
          <w:b/>
          <w:bCs/>
          <w:color w:val="222222"/>
          <w:sz w:val="22"/>
          <w:szCs w:val="22"/>
        </w:rPr>
        <w:t xml:space="preserve">Class imbalance handling: </w:t>
      </w:r>
      <w:r>
        <w:rPr>
          <w:rFonts w:ascii="Arial" w:cs="Arial" w:eastAsia="Arial" w:hAnsi="Arial"/>
          <w:color w:val="222222"/>
          <w:sz w:val="22"/>
          <w:szCs w:val="22"/>
        </w:rPr>
        <w:t xml:space="preserve">scale_pos_weight parameter set to ratio of negatives to positives. No oversampling.</w:t>
      </w:r>
    </w:p>
    <w:p>
      <w:pPr>
        <w:pStyle w:val="ListParagraph"/>
        <w:numPr>
          <w:ilvl w:val="0"/>
          <w:numId w:val="2"/>
        </w:numPr>
        <w:spacing w:before="40" w:after="40"/>
      </w:pPr>
      <w:r>
        <w:rPr>
          <w:rFonts w:ascii="Arial" w:cs="Arial" w:eastAsia="Arial" w:hAnsi="Arial"/>
          <w:b/>
          <w:bCs/>
          <w:color w:val="222222"/>
          <w:sz w:val="22"/>
          <w:szCs w:val="22"/>
        </w:rPr>
        <w:t xml:space="preserve">Hyperparameter tuning on validate set only.</w:t>
      </w:r>
      <w:r>
        <w:rPr>
          <w:rFonts w:ascii="Arial" w:cs="Arial" w:eastAsia="Arial" w:hAnsi="Arial"/>
          <w:color w:val="222222"/>
          <w:sz w:val="22"/>
          <w:szCs w:val="22"/>
        </w:rPr>
        <w:t xml:space="preserve"> Test set not touched until final evaluation.</w:t>
      </w:r>
    </w:p>
    <w:p>
      <w:pPr>
        <w:pStyle w:val="ListParagraph"/>
        <w:numPr>
          <w:ilvl w:val="0"/>
          <w:numId w:val="2"/>
        </w:numPr>
        <w:spacing w:before="40" w:after="40"/>
      </w:pPr>
      <w:r>
        <w:rPr>
          <w:rFonts w:ascii="Arial" w:cs="Arial" w:eastAsia="Arial" w:hAnsi="Arial"/>
          <w:b/>
          <w:bCs/>
          <w:color w:val="222222"/>
          <w:sz w:val="22"/>
          <w:szCs w:val="22"/>
        </w:rPr>
        <w:t xml:space="preserve">Solar cycle year included as a covariate</w:t>
      </w:r>
      <w:r>
        <w:rPr>
          <w:rFonts w:ascii="Arial" w:cs="Arial" w:eastAsia="Arial" w:hAnsi="Arial"/>
          <w:color w:val="222222"/>
          <w:sz w:val="22"/>
          <w:szCs w:val="22"/>
        </w:rPr>
        <w:t xml:space="preserve"> to control for the 11-year cycle confound.</w:t>
      </w:r>
    </w:p>
    <w:p>
      <w:pPr>
        <w:pStyle w:val="ListParagraph"/>
        <w:numPr>
          <w:ilvl w:val="0"/>
          <w:numId w:val="2"/>
        </w:numPr>
        <w:spacing w:before="40" w:after="40"/>
      </w:pPr>
      <w:r>
        <w:rPr>
          <w:rFonts w:ascii="Arial" w:cs="Arial" w:eastAsia="Arial" w:hAnsi="Arial"/>
          <w:b/>
          <w:bCs/>
          <w:color w:val="222222"/>
          <w:sz w:val="22"/>
          <w:szCs w:val="22"/>
        </w:rPr>
        <w:t xml:space="preserve">Earthquake depth included as a covariate</w:t>
      </w:r>
      <w:r>
        <w:rPr>
          <w:rFonts w:ascii="Arial" w:cs="Arial" w:eastAsia="Arial" w:hAnsi="Arial"/>
          <w:color w:val="222222"/>
          <w:sz w:val="22"/>
          <w:szCs w:val="22"/>
        </w:rPr>
        <w:t xml:space="preserve"> (shallow ≤ 70km vs. deeper), given literature evidence that effect may be depth-dependent.</w:t>
      </w:r>
    </w:p>
    <w:p>
      <w:pPr>
        <w:spacing w:before="0" w:after="0"/>
      </w:pPr>
      <w:r>
        <w:rPr>
          <w:sz w:val="22"/>
          <w:szCs w:val="22"/>
        </w:rPr>
        <w:t xml:space="preserve"/>
      </w:r>
    </w:p>
    <w:p>
      <w:pPr>
        <w:pStyle w:val="Heading2"/>
        <w:spacing w:before="280" w:after="80"/>
      </w:pPr>
      <w:r>
        <w:rPr>
          <w:rFonts w:ascii="Arial" w:cs="Arial" w:eastAsia="Arial" w:hAnsi="Arial"/>
          <w:b/>
          <w:bCs/>
          <w:color w:val="1A2B3C"/>
          <w:sz w:val="24"/>
          <w:szCs w:val="24"/>
        </w:rPr>
        <w:t xml:space="preserve">5.4  Step 4 — Final Evaluation (Test Set)</w:t>
      </w:r>
    </w:p>
    <w:p>
      <w:pPr>
        <w:spacing w:before="60" w:after="80"/>
      </w:pPr>
      <w:r>
        <w:rPr>
          <w:rFonts w:ascii="Arial" w:cs="Arial" w:eastAsia="Arial" w:hAnsi="Arial"/>
          <w:color w:val="222222"/>
          <w:sz w:val="22"/>
          <w:szCs w:val="22"/>
        </w:rPr>
        <w:t xml:space="preserve">The test set (2023–2026) will be evaluated exactly once, after the model is fully locked. The following metrics will be reported:</w:t>
      </w:r>
    </w:p>
    <w:p>
      <w:pPr>
        <w:pStyle w:val="ListParagraph"/>
        <w:numPr>
          <w:ilvl w:val="0"/>
          <w:numId w:val="2"/>
        </w:numPr>
        <w:spacing w:before="40" w:after="40"/>
      </w:pPr>
      <w:r>
        <w:rPr>
          <w:rFonts w:ascii="Arial" w:cs="Arial" w:eastAsia="Arial" w:hAnsi="Arial"/>
          <w:color w:val="222222"/>
          <w:sz w:val="22"/>
          <w:szCs w:val="22"/>
        </w:rPr>
        <w:t xml:space="preserve">AUROC — primary discrimination metric</w:t>
      </w:r>
    </w:p>
    <w:p>
      <w:pPr>
        <w:pStyle w:val="ListParagraph"/>
        <w:numPr>
          <w:ilvl w:val="0"/>
          <w:numId w:val="2"/>
        </w:numPr>
        <w:spacing w:before="40" w:after="40"/>
      </w:pPr>
      <w:r>
        <w:rPr>
          <w:rFonts w:ascii="Arial" w:cs="Arial" w:eastAsia="Arial" w:hAnsi="Arial"/>
          <w:color w:val="222222"/>
          <w:sz w:val="22"/>
          <w:szCs w:val="22"/>
        </w:rPr>
        <w:t xml:space="preserve">AUPRC — precision-recall area, appropriate for imbalanced classes</w:t>
      </w:r>
    </w:p>
    <w:p>
      <w:pPr>
        <w:pStyle w:val="ListParagraph"/>
        <w:numPr>
          <w:ilvl w:val="0"/>
          <w:numId w:val="2"/>
        </w:numPr>
        <w:spacing w:before="40" w:after="40"/>
      </w:pPr>
      <w:r>
        <w:rPr>
          <w:rFonts w:ascii="Arial" w:cs="Arial" w:eastAsia="Arial" w:hAnsi="Arial"/>
          <w:color w:val="222222"/>
          <w:sz w:val="22"/>
          <w:szCs w:val="22"/>
        </w:rPr>
        <w:t xml:space="preserve">Brier Score and Brier Skill Score vs. persistence baseline</w:t>
      </w:r>
    </w:p>
    <w:p>
      <w:pPr>
        <w:pStyle w:val="ListParagraph"/>
        <w:numPr>
          <w:ilvl w:val="0"/>
          <w:numId w:val="2"/>
        </w:numPr>
        <w:spacing w:before="40" w:after="40"/>
      </w:pPr>
      <w:r>
        <w:rPr>
          <w:rFonts w:ascii="Arial" w:cs="Arial" w:eastAsia="Arial" w:hAnsi="Arial"/>
          <w:color w:val="222222"/>
          <w:sz w:val="22"/>
          <w:szCs w:val="22"/>
        </w:rPr>
        <w:t xml:space="preserve">Expected Calibration Error (ECE) — are predicted probabilities reliable?</w:t>
      </w:r>
    </w:p>
    <w:p>
      <w:pPr>
        <w:pStyle w:val="ListParagraph"/>
        <w:numPr>
          <w:ilvl w:val="0"/>
          <w:numId w:val="2"/>
        </w:numPr>
        <w:spacing w:before="40" w:after="40"/>
      </w:pPr>
      <w:r>
        <w:rPr>
          <w:rFonts w:ascii="Arial" w:cs="Arial" w:eastAsia="Arial" w:hAnsi="Arial"/>
          <w:color w:val="222222"/>
          <w:sz w:val="22"/>
          <w:szCs w:val="22"/>
        </w:rPr>
        <w:t xml:space="preserve">Calibration curve (reliability diagram)</w:t>
      </w:r>
    </w:p>
    <w:p>
      <w:pPr>
        <w:pStyle w:val="ListParagraph"/>
        <w:numPr>
          <w:ilvl w:val="0"/>
          <w:numId w:val="2"/>
        </w:numPr>
        <w:spacing w:before="40" w:after="40"/>
      </w:pPr>
      <w:r>
        <w:rPr>
          <w:rFonts w:ascii="Arial" w:cs="Arial" w:eastAsia="Arial" w:hAnsi="Arial"/>
          <w:color w:val="222222"/>
          <w:sz w:val="22"/>
          <w:szCs w:val="22"/>
        </w:rPr>
        <w:t xml:space="preserve">Feature importance (SHAP values)</w:t>
      </w:r>
    </w:p>
    <w:p>
      <w:pPr>
        <w:pStyle w:val="ListParagraph"/>
        <w:numPr>
          <w:ilvl w:val="0"/>
          <w:numId w:val="2"/>
        </w:numPr>
        <w:spacing w:before="40" w:after="40"/>
      </w:pPr>
      <w:r>
        <w:rPr>
          <w:rFonts w:ascii="Arial" w:cs="Arial" w:eastAsia="Arial" w:hAnsi="Arial"/>
          <w:color w:val="222222"/>
          <w:sz w:val="22"/>
          <w:szCs w:val="22"/>
        </w:rPr>
        <w:t xml:space="preserve">Results stratified by: lag window, solar cycle phase, tectonic region, earthquake depth</w:t>
      </w:r>
    </w:p>
    <w:p>
      <w:pPr>
        <w:spacing w:before="0" w:after="0"/>
      </w:pPr>
      <w:r>
        <w:rPr>
          <w:sz w:val="22"/>
          <w:szCs w:val="22"/>
        </w:rPr>
        <w:t xml:space="preserve"/>
      </w:r>
    </w:p>
    <w:p>
      <w:pPr>
        <w:pStyle w:val="Heading1"/>
        <w:pBdr>
          <w:bottom w:val="single" w:color="0D3F5F" w:sz="6" w:space="4"/>
        </w:pBdr>
        <w:spacing w:before="400" w:after="120"/>
      </w:pPr>
      <w:r>
        <w:rPr>
          <w:rFonts w:ascii="Arial" w:cs="Arial" w:eastAsia="Arial" w:hAnsi="Arial"/>
          <w:b/>
          <w:bCs/>
          <w:color w:val="0D3F5F"/>
          <w:sz w:val="30"/>
          <w:szCs w:val="30"/>
        </w:rPr>
        <w:t xml:space="preserve">6.  Pre-Defined Interpretation Thresholds</w:t>
      </w:r>
    </w:p>
    <w:p>
      <w:pPr>
        <w:spacing w:before="60" w:after="80"/>
      </w:pPr>
      <w:r>
        <w:rPr>
          <w:rFonts w:ascii="Arial" w:cs="Arial" w:eastAsia="Arial" w:hAnsi="Arial"/>
          <w:color w:val="222222"/>
          <w:sz w:val="22"/>
          <w:szCs w:val="22"/>
        </w:rPr>
        <w:t xml:space="preserve">The following thresholds are locked before analysis. They define how results will be interpreted regardless of what the data shows.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Null Result</w:t>
            </w:r>
          </w:p>
        </w:tc>
        <w:tc>
          <w:tcPr>
            <w:tcW w:type="dxa" w:w="240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Weak Signal</w:t>
            </w:r>
          </w:p>
        </w:tc>
        <w:tc>
          <w:tcPr>
            <w:tcW w:type="dxa" w:w="2400"/>
            <w:tcBorders>
              <w:top w:val="single" w:color="CCCCCC" w:sz="1"/>
              <w:left w:val="single" w:color="CCCCCC" w:sz="1"/>
              <w:bottom w:val="single" w:color="CCCCCC" w:sz="1"/>
              <w:right w:val="single" w:color="CCCCCC" w:sz="1"/>
            </w:tcBorders>
            <w:shd w:fill="0D3F5F" w:val="clear"/>
            <w:tcMar>
              <w:top w:type="dxa" w:w="80"/>
              <w:left w:type="dxa" w:w="120"/>
              <w:bottom w:type="dxa" w:w="80"/>
              <w:right w:type="dxa" w:w="120"/>
            </w:tcMar>
          </w:tcPr>
          <w:p>
            <w:r>
              <w:rPr>
                <w:rFonts w:ascii="Arial" w:cs="Arial" w:eastAsia="Arial" w:hAnsi="Arial"/>
                <w:b/>
                <w:bCs/>
                <w:color w:val="FFFFFF"/>
                <w:sz w:val="19"/>
                <w:szCs w:val="19"/>
              </w:rPr>
              <w:t xml:space="preserve">Meaningful Signal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AUROC (test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B1A1A"/>
                <w:sz w:val="19"/>
                <w:szCs w:val="19"/>
              </w:rPr>
              <w:t xml:space="preserve">&lt; 0.52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C3D00"/>
                <w:sz w:val="19"/>
                <w:szCs w:val="19"/>
              </w:rPr>
              <w:t xml:space="preserve">0.52 – 0.58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3A"/>
                <w:sz w:val="19"/>
                <w:szCs w:val="19"/>
              </w:rPr>
              <w:t xml:space="preserve">≥ 0.58</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222222"/>
                <w:sz w:val="19"/>
                <w:szCs w:val="19"/>
              </w:rPr>
              <w:t xml:space="preserve">AUROC vs. persistence baseline</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6B1A1A"/>
                <w:sz w:val="19"/>
                <w:szCs w:val="19"/>
              </w:rPr>
              <w:t xml:space="preserve">No improvement</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5C3D00"/>
                <w:sz w:val="19"/>
                <w:szCs w:val="19"/>
              </w:rPr>
              <w:t xml:space="preserve">&lt; 0.02 lift</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A5C3A"/>
                <w:sz w:val="19"/>
                <w:szCs w:val="19"/>
              </w:rPr>
              <w:t xml:space="preserve">≥ 0.02 lift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19"/>
                <w:szCs w:val="19"/>
              </w:rPr>
              <w:t xml:space="preserve">Brier Skill 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B1A1A"/>
                <w:sz w:val="19"/>
                <w:szCs w:val="19"/>
              </w:rPr>
              <w:t xml:space="preserve">≤ 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C3D00"/>
                <w:sz w:val="19"/>
                <w:szCs w:val="19"/>
              </w:rPr>
              <w:t xml:space="preserve">0.00 – 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5C3A"/>
                <w:sz w:val="19"/>
                <w:szCs w:val="19"/>
              </w:rPr>
              <w:t xml:space="preserve">&gt; 0.02</w:t>
            </w:r>
          </w:p>
        </w:tc>
      </w:tr>
      <w:tr>
        <w:tc>
          <w:tcPr>
            <w:tcW w:type="dxa" w:w="2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222222"/>
                <w:sz w:val="19"/>
                <w:szCs w:val="19"/>
              </w:rPr>
              <w:t xml:space="preserve">Calibration (ECE)</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6B1A1A"/>
                <w:sz w:val="19"/>
                <w:szCs w:val="19"/>
              </w:rPr>
              <w:t xml:space="preserve">n/a</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5C3D00"/>
                <w:sz w:val="19"/>
                <w:szCs w:val="19"/>
              </w:rPr>
              <w:t xml:space="preserve">&lt; 0.05</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A5C3A"/>
                <w:sz w:val="19"/>
                <w:szCs w:val="19"/>
              </w:rPr>
              <w:t xml:space="preserve">&lt; 0.03</w:t>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D3F5F"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pPr>
              <w:spacing w:before="80" w:after="60"/>
            </w:pPr>
            <w:r>
              <w:rPr>
                <w:rFonts w:ascii="Arial" w:cs="Arial" w:eastAsia="Arial" w:hAnsi="Arial"/>
                <w:b/>
                <w:bCs/>
                <w:color w:val="0D3F5F"/>
                <w:sz w:val="20"/>
                <w:szCs w:val="20"/>
              </w:rPr>
              <w:t xml:space="preserve">How to interpret these thresholds</w:t>
            </w:r>
          </w:p>
          <w:p>
            <w:pPr>
              <w:spacing w:before="60" w:after="80"/>
            </w:pPr>
            <w:r>
              <w:rPr>
                <w:rFonts w:ascii="Arial" w:cs="Arial" w:eastAsia="Arial" w:hAnsi="Arial"/>
                <w:b/>
                <w:bCs/>
                <w:color w:val="222222"/>
                <w:sz w:val="22"/>
                <w:szCs w:val="22"/>
              </w:rPr>
              <w:t xml:space="preserve">AUROC of 0.5 </w:t>
            </w:r>
            <w:r>
              <w:rPr>
                <w:rFonts w:ascii="Arial" w:cs="Arial" w:eastAsia="Arial" w:hAnsi="Arial"/>
                <w:color w:val="222222"/>
                <w:sz w:val="22"/>
                <w:szCs w:val="22"/>
              </w:rPr>
              <w:t xml:space="preserve">= random chance. A model that predicts the majority class always achieves 0.5.</w:t>
            </w:r>
          </w:p>
          <w:p>
            <w:pPr>
              <w:spacing w:before="60" w:after="80"/>
            </w:pPr>
            <w:r>
              <w:rPr>
                <w:rFonts w:ascii="Arial" w:cs="Arial" w:eastAsia="Arial" w:hAnsi="Arial"/>
                <w:b/>
                <w:bCs/>
                <w:color w:val="222222"/>
                <w:sz w:val="22"/>
                <w:szCs w:val="22"/>
              </w:rPr>
              <w:t xml:space="preserve">AUROC of 0.58 </w:t>
            </w:r>
            <w:r>
              <w:rPr>
                <w:rFonts w:ascii="Arial" w:cs="Arial" w:eastAsia="Arial" w:hAnsi="Arial"/>
                <w:color w:val="222222"/>
                <w:sz w:val="22"/>
                <w:szCs w:val="22"/>
              </w:rPr>
              <w:t xml:space="preserve">= modest but non-trivial discrimination. In a rare-event setting like this, it represents a meaningful probability shift.</w:t>
            </w:r>
          </w:p>
          <w:p>
            <w:pPr>
              <w:spacing w:before="60" w:after="80"/>
            </w:pPr>
            <w:r>
              <w:rPr>
                <w:rFonts w:ascii="Arial" w:cs="Arial" w:eastAsia="Arial" w:hAnsi="Arial"/>
                <w:b/>
                <w:bCs/>
                <w:color w:val="222222"/>
                <w:sz w:val="22"/>
                <w:szCs w:val="22"/>
              </w:rPr>
              <w:t xml:space="preserve">Brier Skill Score &gt; 0 </w:t>
            </w:r>
            <w:r>
              <w:rPr>
                <w:rFonts w:ascii="Arial" w:cs="Arial" w:eastAsia="Arial" w:hAnsi="Arial"/>
                <w:color w:val="222222"/>
                <w:sz w:val="22"/>
                <w:szCs w:val="22"/>
              </w:rPr>
              <w:t xml:space="preserve">= model is better calibrated than the persistence baseline. A score of 0.02 means the model reduces mean squared probability error by 2% relative to baseline.</w:t>
            </w:r>
          </w:p>
          <w:p>
            <w:pPr>
              <w:spacing w:before="60" w:after="80"/>
            </w:pPr>
            <w:r>
              <w:rPr>
                <w:rFonts w:ascii="Arial" w:cs="Arial" w:eastAsia="Arial" w:hAnsi="Arial"/>
                <w:b/>
                <w:bCs/>
                <w:color w:val="222222"/>
                <w:sz w:val="22"/>
                <w:szCs w:val="22"/>
              </w:rPr>
              <w:t xml:space="preserve">ECE &lt; 0.03 </w:t>
            </w:r>
            <w:r>
              <w:rPr>
                <w:rFonts w:ascii="Arial" w:cs="Arial" w:eastAsia="Arial" w:hAnsi="Arial"/>
                <w:color w:val="222222"/>
                <w:sz w:val="22"/>
                <w:szCs w:val="22"/>
              </w:rPr>
              <w:t xml:space="preserve">= predicted probabilities are well-calibrated (e.g., when the model says 8% probability, earthquakes occur roughly 8% of the time in those windows).</w:t>
            </w:r>
          </w:p>
          <w:p>
            <w:pPr>
              <w:spacing w:before="60" w:after="0"/>
            </w:pPr>
            <w:r>
              <w:rPr>
                <w:sz w:val="18"/>
                <w:szCs w:val="18"/>
              </w:rPr>
              <w:t xml:space="preserve"/>
            </w:r>
          </w:p>
        </w:tc>
      </w:tr>
    </w:tbl>
    <w:p>
      <w:pPr>
        <w:spacing w:before="0" w:after="0"/>
      </w:pPr>
      <w:r>
        <w:rPr>
          <w:sz w:val="22"/>
          <w:szCs w:val="22"/>
        </w:rPr>
        <w:t xml:space="preserve"/>
      </w:r>
    </w:p>
    <w:p>
      <w:pPr>
        <w:pStyle w:val="Heading1"/>
        <w:pBdr>
          <w:bottom w:val="single" w:color="0D3F5F" w:sz="6" w:space="4"/>
        </w:pBdr>
        <w:spacing w:before="400" w:after="120"/>
      </w:pPr>
      <w:r>
        <w:rPr>
          <w:rFonts w:ascii="Arial" w:cs="Arial" w:eastAsia="Arial" w:hAnsi="Arial"/>
          <w:b/>
          <w:bCs/>
          <w:color w:val="0D3F5F"/>
          <w:sz w:val="30"/>
          <w:szCs w:val="30"/>
        </w:rPr>
        <w:t xml:space="preserve">7.  Known Confounds &amp; Mitigation Plan</w:t>
      </w:r>
    </w:p>
    <w:p>
      <w:pPr>
        <w:spacing w:before="200" w:after="60"/>
      </w:pPr>
      <w:r>
        <w:rPr>
          <w:rFonts w:ascii="Arial" w:cs="Arial" w:eastAsia="Arial" w:hAnsi="Arial"/>
          <w:b/>
          <w:bCs/>
          <w:color w:val="6B1A1A"/>
          <w:sz w:val="22"/>
          <w:szCs w:val="22"/>
        </w:rPr>
        <w:t xml:space="preserve">Solar Cycle Phase</w:t>
      </w:r>
    </w:p>
    <w:p>
      <w:pPr>
        <w:spacing w:before="60" w:after="80"/>
      </w:pPr>
      <w:r>
        <w:rPr>
          <w:rFonts w:ascii="Arial" w:cs="Arial" w:eastAsia="Arial" w:hAnsi="Arial"/>
          <w:color w:val="222222"/>
          <w:sz w:val="22"/>
          <w:szCs w:val="22"/>
        </w:rPr>
        <w:t xml:space="preserve">The 11-year solar cycle creates correlated changes in both geomagnetic activity and potentially seismicity. Mitigation: include solar cycle year as a model covariate; stratify results by solar maximum vs. minimum years.</w:t>
      </w:r>
    </w:p>
    <w:p>
      <w:pPr>
        <w:spacing w:before="0" w:after="0"/>
      </w:pPr>
      <w:r>
        <w:rPr>
          <w:sz w:val="22"/>
          <w:szCs w:val="22"/>
        </w:rPr>
        <w:t xml:space="preserve"/>
      </w:r>
    </w:p>
    <w:p>
      <w:pPr>
        <w:spacing w:before="200" w:after="60"/>
      </w:pPr>
      <w:r>
        <w:rPr>
          <w:rFonts w:ascii="Arial" w:cs="Arial" w:eastAsia="Arial" w:hAnsi="Arial"/>
          <w:b/>
          <w:bCs/>
          <w:color w:val="6B1A1A"/>
          <w:sz w:val="22"/>
          <w:szCs w:val="22"/>
        </w:rPr>
        <w:t xml:space="preserve">Catalog Reporting Bias</w:t>
      </w:r>
    </w:p>
    <w:p>
      <w:pPr>
        <w:spacing w:before="60" w:after="80"/>
      </w:pPr>
      <w:r>
        <w:rPr>
          <w:rFonts w:ascii="Arial" w:cs="Arial" w:eastAsia="Arial" w:hAnsi="Arial"/>
          <w:color w:val="222222"/>
          <w:sz w:val="22"/>
          <w:szCs w:val="22"/>
        </w:rPr>
        <w:t xml:space="preserve">Geomagnetic storms increase electromagnetic noise, which may affect detection of smaller seismic events. Mitigation: primary analysis uses M≥6.0 threshold (well above detection threshold globally); sensitivity analysis at M≥5.5 will test robustness.</w:t>
      </w:r>
    </w:p>
    <w:p>
      <w:pPr>
        <w:spacing w:before="0" w:after="0"/>
      </w:pPr>
      <w:r>
        <w:rPr>
          <w:sz w:val="22"/>
          <w:szCs w:val="22"/>
        </w:rPr>
        <w:t xml:space="preserve"/>
      </w:r>
    </w:p>
    <w:p>
      <w:pPr>
        <w:spacing w:before="200" w:after="60"/>
      </w:pPr>
      <w:r>
        <w:rPr>
          <w:rFonts w:ascii="Arial" w:cs="Arial" w:eastAsia="Arial" w:hAnsi="Arial"/>
          <w:b/>
          <w:bCs/>
          <w:color w:val="6B1A1A"/>
          <w:sz w:val="22"/>
          <w:szCs w:val="22"/>
        </w:rPr>
        <w:t xml:space="preserve">Multiple Comparisons</w:t>
      </w:r>
    </w:p>
    <w:p>
      <w:pPr>
        <w:spacing w:before="60" w:after="80"/>
      </w:pPr>
      <w:r>
        <w:rPr>
          <w:rFonts w:ascii="Arial" w:cs="Arial" w:eastAsia="Arial" w:hAnsi="Arial"/>
          <w:b w:val="false"/>
          <w:bCs w:val="false"/>
          <w:color w:val="222222"/>
          <w:sz w:val="22"/>
          <w:szCs w:val="22"/>
        </w:rPr>
        <w:t xml:space="preserve">Testing 9 variables × 3 lag windows = 27 individual tests. Without correction, approximately 1–2 false positives are expected at p&lt;0.05 by chance alone. Mitigation: </w:t>
      </w:r>
      <w:r>
        <w:rPr>
          <w:rFonts w:ascii="Arial" w:cs="Arial" w:eastAsia="Arial" w:hAnsi="Arial"/>
          <w:b/>
          <w:bCs/>
          <w:color w:val="222222"/>
          <w:sz w:val="22"/>
          <w:szCs w:val="22"/>
        </w:rPr>
        <w:t xml:space="preserve">primary hypothesis is based on overall model AUROC, not individual variable significance. Bonferroni correction applied to any variable-level significance tests.</w:t>
      </w:r>
    </w:p>
    <w:p>
      <w:pPr>
        <w:spacing w:before="0" w:after="0"/>
      </w:pPr>
      <w:r>
        <w:rPr>
          <w:sz w:val="22"/>
          <w:szCs w:val="22"/>
        </w:rPr>
        <w:t xml:space="preserve"/>
      </w:r>
    </w:p>
    <w:p>
      <w:pPr>
        <w:spacing w:before="200" w:after="60"/>
      </w:pPr>
      <w:r>
        <w:rPr>
          <w:rFonts w:ascii="Arial" w:cs="Arial" w:eastAsia="Arial" w:hAnsi="Arial"/>
          <w:b/>
          <w:bCs/>
          <w:color w:val="6B1A1A"/>
          <w:sz w:val="22"/>
          <w:szCs w:val="22"/>
        </w:rPr>
        <w:t xml:space="preserve">Pre-Observation of 2024–2025 Pattern</w:t>
      </w:r>
    </w:p>
    <w:p>
      <w:pPr>
        <w:spacing w:before="60" w:after="80"/>
      </w:pPr>
      <w:r>
        <w:rPr>
          <w:rFonts w:ascii="Arial" w:cs="Arial" w:eastAsia="Arial" w:hAnsi="Arial"/>
          <w:color w:val="222222"/>
          <w:sz w:val="22"/>
          <w:szCs w:val="22"/>
        </w:rPr>
        <w:t xml:space="preserve">The elevated X-flare activity in 2024 and elevated seismicity in 2025 were observed before this pre-registration was written. Mitigation: this is documented explicitly above (Section 5.1). The test set includes 2023–2026 data; the 2024–2025 period falls in the test window. If the model performs well on this period, it is consistent with the hypothesis but cannot be treated as independent confirmation since the pattern was known.</w:t>
      </w:r>
    </w:p>
    <w:p>
      <w:pPr>
        <w:spacing w:before="0" w:after="0"/>
      </w:pPr>
      <w:r>
        <w:rPr>
          <w:sz w:val="22"/>
          <w:szCs w:val="22"/>
        </w:rPr>
        <w:t xml:space="preserve"/>
      </w:r>
    </w:p>
    <w:p>
      <w:pPr>
        <w:spacing w:before="200" w:after="60"/>
      </w:pPr>
      <w:r>
        <w:rPr>
          <w:rFonts w:ascii="Arial" w:cs="Arial" w:eastAsia="Arial" w:hAnsi="Arial"/>
          <w:b/>
          <w:bCs/>
          <w:color w:val="6B1A1A"/>
          <w:sz w:val="22"/>
          <w:szCs w:val="22"/>
        </w:rPr>
        <w:t xml:space="preserve">Regional Geology Heterogeneity</w:t>
      </w:r>
    </w:p>
    <w:p>
      <w:pPr>
        <w:spacing w:before="60" w:after="80"/>
      </w:pPr>
      <w:r>
        <w:rPr>
          <w:rFonts w:ascii="Arial" w:cs="Arial" w:eastAsia="Arial" w:hAnsi="Arial"/>
          <w:color w:val="222222"/>
          <w:sz w:val="22"/>
          <w:szCs w:val="22"/>
        </w:rPr>
        <w:t xml:space="preserve">A 10°×10° global grid merges regions with fundamentally different tectonic settings. Mitigation: stratified analysis by tectonic region type (subduction, transform, rift, stable craton) reported as secondary outcome.</w:t>
      </w:r>
    </w:p>
    <w:p>
      <w:pPr>
        <w:spacing w:before="0" w:after="0"/>
      </w:pPr>
      <w:r>
        <w:rPr>
          <w:sz w:val="22"/>
          <w:szCs w:val="22"/>
        </w:rPr>
        <w:t xml:space="preserve"/>
      </w:r>
    </w:p>
    <w:p>
      <w:pPr>
        <w:pStyle w:val="Heading1"/>
        <w:pBdr>
          <w:bottom w:val="single" w:color="0D3F5F" w:sz="6" w:space="4"/>
        </w:pBdr>
        <w:spacing w:before="400" w:after="120"/>
      </w:pPr>
      <w:r>
        <w:rPr>
          <w:rFonts w:ascii="Arial" w:cs="Arial" w:eastAsia="Arial" w:hAnsi="Arial"/>
          <w:b/>
          <w:bCs/>
          <w:color w:val="0D3F5F"/>
          <w:sz w:val="30"/>
          <w:szCs w:val="30"/>
        </w:rPr>
        <w:t xml:space="preserve">8.  What We Will and Will Not Claim</w:t>
      </w:r>
    </w:p>
    <w:p>
      <w:pPr>
        <w:pStyle w:val="Heading2"/>
        <w:spacing w:before="280" w:after="80"/>
      </w:pPr>
      <w:r>
        <w:rPr>
          <w:rFonts w:ascii="Arial" w:cs="Arial" w:eastAsia="Arial" w:hAnsi="Arial"/>
          <w:b/>
          <w:bCs/>
          <w:color w:val="1A2B3C"/>
          <w:sz w:val="24"/>
          <w:szCs w:val="24"/>
        </w:rPr>
        <w:t xml:space="preserve">8.1  If we find a meaningful signal (AUROC ≥ 0.58):</w:t>
      </w:r>
    </w:p>
    <w:p>
      <w:pPr>
        <w:pStyle w:val="ListParagraph"/>
        <w:numPr>
          <w:ilvl w:val="0"/>
          <w:numId w:val="2"/>
        </w:numPr>
        <w:spacing w:before="40" w:after="40"/>
      </w:pPr>
      <w:r>
        <w:rPr>
          <w:rFonts w:ascii="Arial" w:cs="Arial" w:eastAsia="Arial" w:hAnsi="Arial"/>
          <w:color w:val="222222"/>
          <w:sz w:val="22"/>
          <w:szCs w:val="22"/>
        </w:rPr>
        <w:t xml:space="preserve">We will report the magnitude of the effect, the lag window(s) in which it appears, and the variables that drive it</w:t>
      </w:r>
    </w:p>
    <w:p>
      <w:pPr>
        <w:pStyle w:val="ListParagraph"/>
        <w:numPr>
          <w:ilvl w:val="0"/>
          <w:numId w:val="2"/>
        </w:numPr>
        <w:spacing w:before="40" w:after="40"/>
      </w:pPr>
      <w:r>
        <w:rPr>
          <w:rFonts w:ascii="Arial" w:cs="Arial" w:eastAsia="Arial" w:hAnsi="Arial"/>
          <w:color w:val="222222"/>
          <w:sz w:val="22"/>
          <w:szCs w:val="22"/>
        </w:rPr>
        <w:t xml:space="preserve">We will report full calibration curves and skill scores</w:t>
      </w:r>
    </w:p>
    <w:p>
      <w:pPr>
        <w:pStyle w:val="ListParagraph"/>
        <w:numPr>
          <w:ilvl w:val="0"/>
          <w:numId w:val="2"/>
        </w:numPr>
        <w:spacing w:before="40" w:after="40"/>
      </w:pPr>
      <w:r>
        <w:rPr>
          <w:rFonts w:ascii="Arial" w:cs="Arial" w:eastAsia="Arial" w:hAnsi="Arial"/>
          <w:color w:val="222222"/>
          <w:sz w:val="22"/>
          <w:szCs w:val="22"/>
        </w:rPr>
        <w:t xml:space="preserve">We will NOT claim we can predict earthquakes</w:t>
      </w:r>
    </w:p>
    <w:p>
      <w:pPr>
        <w:pStyle w:val="ListParagraph"/>
        <w:numPr>
          <w:ilvl w:val="0"/>
          <w:numId w:val="2"/>
        </w:numPr>
        <w:spacing w:before="40" w:after="40"/>
      </w:pPr>
      <w:r>
        <w:rPr>
          <w:rFonts w:ascii="Arial" w:cs="Arial" w:eastAsia="Arial" w:hAnsi="Arial"/>
          <w:color w:val="222222"/>
          <w:sz w:val="22"/>
          <w:szCs w:val="22"/>
        </w:rPr>
        <w:t xml:space="preserve">We will NOT claim a causal mechanism</w:t>
      </w:r>
    </w:p>
    <w:p>
      <w:pPr>
        <w:pStyle w:val="ListParagraph"/>
        <w:numPr>
          <w:ilvl w:val="0"/>
          <w:numId w:val="2"/>
        </w:numPr>
        <w:spacing w:before="40" w:after="40"/>
      </w:pPr>
      <w:r>
        <w:rPr>
          <w:rFonts w:ascii="Arial" w:cs="Arial" w:eastAsia="Arial" w:hAnsi="Arial"/>
          <w:color w:val="222222"/>
          <w:sz w:val="22"/>
          <w:szCs w:val="22"/>
        </w:rPr>
        <w:t xml:space="preserve">We will report this as: "Environmental variables provide statistically significant but modest probabilistic lift for elevated seismic activity, consistent with but not proving a solar-seismic coupling hypothesis"</w:t>
      </w:r>
    </w:p>
    <w:p>
      <w:pPr>
        <w:spacing w:before="0" w:after="0"/>
      </w:pPr>
      <w:r>
        <w:rPr>
          <w:sz w:val="22"/>
          <w:szCs w:val="22"/>
        </w:rPr>
        <w:t xml:space="preserve"/>
      </w:r>
    </w:p>
    <w:p>
      <w:pPr>
        <w:pStyle w:val="Heading2"/>
        <w:spacing w:before="280" w:after="80"/>
      </w:pPr>
      <w:r>
        <w:rPr>
          <w:rFonts w:ascii="Arial" w:cs="Arial" w:eastAsia="Arial" w:hAnsi="Arial"/>
          <w:b/>
          <w:bCs/>
          <w:color w:val="1A2B3C"/>
          <w:sz w:val="24"/>
          <w:szCs w:val="24"/>
        </w:rPr>
        <w:t xml:space="preserve">8.2  If we find a weak signal (AUROC 0.52–0.58):</w:t>
      </w:r>
    </w:p>
    <w:p>
      <w:pPr>
        <w:pStyle w:val="ListParagraph"/>
        <w:numPr>
          <w:ilvl w:val="0"/>
          <w:numId w:val="2"/>
        </w:numPr>
        <w:spacing w:before="40" w:after="40"/>
      </w:pPr>
      <w:r>
        <w:rPr>
          <w:rFonts w:ascii="Arial" w:cs="Arial" w:eastAsia="Arial" w:hAnsi="Arial"/>
          <w:color w:val="222222"/>
          <w:sz w:val="22"/>
          <w:szCs w:val="22"/>
        </w:rPr>
        <w:t xml:space="preserve">We will report the finding honestly with confidence intervals</w:t>
      </w:r>
    </w:p>
    <w:p>
      <w:pPr>
        <w:pStyle w:val="ListParagraph"/>
        <w:numPr>
          <w:ilvl w:val="0"/>
          <w:numId w:val="2"/>
        </w:numPr>
        <w:spacing w:before="40" w:after="40"/>
      </w:pPr>
      <w:r>
        <w:rPr>
          <w:rFonts w:ascii="Arial" w:cs="Arial" w:eastAsia="Arial" w:hAnsi="Arial"/>
          <w:color w:val="222222"/>
          <w:sz w:val="22"/>
          <w:szCs w:val="22"/>
        </w:rPr>
        <w:t xml:space="preserve">We will note that the effect, if real, is too small to be practically useful alone</w:t>
      </w:r>
    </w:p>
    <w:p>
      <w:pPr>
        <w:pStyle w:val="ListParagraph"/>
        <w:numPr>
          <w:ilvl w:val="0"/>
          <w:numId w:val="2"/>
        </w:numPr>
        <w:spacing w:before="40" w:after="40"/>
      </w:pPr>
      <w:r>
        <w:rPr>
          <w:rFonts w:ascii="Arial" w:cs="Arial" w:eastAsia="Arial" w:hAnsi="Arial"/>
          <w:color w:val="222222"/>
          <w:sz w:val="22"/>
          <w:szCs w:val="22"/>
        </w:rPr>
        <w:t xml:space="preserve">We will describe it as a candidate signal requiring replication in an independent dataset</w:t>
      </w:r>
    </w:p>
    <w:p>
      <w:pPr>
        <w:pStyle w:val="ListParagraph"/>
        <w:numPr>
          <w:ilvl w:val="0"/>
          <w:numId w:val="2"/>
        </w:numPr>
        <w:spacing w:before="40" w:after="40"/>
      </w:pPr>
      <w:r>
        <w:rPr>
          <w:rFonts w:ascii="Arial" w:cs="Arial" w:eastAsia="Arial" w:hAnsi="Arial"/>
          <w:color w:val="222222"/>
          <w:sz w:val="22"/>
          <w:szCs w:val="22"/>
        </w:rPr>
        <w:t xml:space="preserve">We will proceed to Phase 2 with appropriate skepticism about whether the noetic layer can improve on a weak environmental baseline</w:t>
      </w:r>
    </w:p>
    <w:p>
      <w:pPr>
        <w:spacing w:before="0" w:after="0"/>
      </w:pPr>
      <w:r>
        <w:rPr>
          <w:sz w:val="22"/>
          <w:szCs w:val="22"/>
        </w:rPr>
        <w:t xml:space="preserve"/>
      </w:r>
    </w:p>
    <w:p>
      <w:pPr>
        <w:pStyle w:val="Heading2"/>
        <w:spacing w:before="280" w:after="80"/>
      </w:pPr>
      <w:r>
        <w:rPr>
          <w:rFonts w:ascii="Arial" w:cs="Arial" w:eastAsia="Arial" w:hAnsi="Arial"/>
          <w:b/>
          <w:bCs/>
          <w:color w:val="1A2B3C"/>
          <w:sz w:val="24"/>
          <w:szCs w:val="24"/>
        </w:rPr>
        <w:t xml:space="preserve">8.3  If we find no signal (AUROC &lt; 0.52):</w:t>
      </w:r>
    </w:p>
    <w:p>
      <w:pPr>
        <w:pStyle w:val="ListParagraph"/>
        <w:numPr>
          <w:ilvl w:val="0"/>
          <w:numId w:val="2"/>
        </w:numPr>
        <w:spacing w:before="40" w:after="40"/>
      </w:pPr>
      <w:r>
        <w:rPr>
          <w:rFonts w:ascii="Arial" w:cs="Arial" w:eastAsia="Arial" w:hAnsi="Arial"/>
          <w:color w:val="222222"/>
          <w:sz w:val="22"/>
          <w:szCs w:val="22"/>
        </w:rPr>
        <w:t xml:space="preserve">We will report this as a null result and document it fully</w:t>
      </w:r>
    </w:p>
    <w:p>
      <w:pPr>
        <w:pStyle w:val="ListParagraph"/>
        <w:numPr>
          <w:ilvl w:val="0"/>
          <w:numId w:val="2"/>
        </w:numPr>
        <w:spacing w:before="40" w:after="40"/>
      </w:pPr>
      <w:r>
        <w:rPr>
          <w:rFonts w:ascii="Arial" w:cs="Arial" w:eastAsia="Arial" w:hAnsi="Arial"/>
          <w:color w:val="222222"/>
          <w:sz w:val="22"/>
          <w:szCs w:val="22"/>
        </w:rPr>
        <w:t xml:space="preserve">We will interpret it as evidence against the solar-seismic coupling hypothesis at the global scale tested</w:t>
      </w:r>
    </w:p>
    <w:p>
      <w:pPr>
        <w:pStyle w:val="ListParagraph"/>
        <w:numPr>
          <w:ilvl w:val="0"/>
          <w:numId w:val="2"/>
        </w:numPr>
        <w:spacing w:before="40" w:after="40"/>
      </w:pPr>
      <w:r>
        <w:rPr>
          <w:rFonts w:ascii="Arial" w:cs="Arial" w:eastAsia="Arial" w:hAnsi="Arial"/>
          <w:color w:val="222222"/>
          <w:sz w:val="22"/>
          <w:szCs w:val="22"/>
        </w:rPr>
        <w:t xml:space="preserve">We will consider whether regional or depth-stratified analysis warrants further exploration before concluding</w:t>
      </w:r>
    </w:p>
    <w:p>
      <w:pPr>
        <w:pStyle w:val="ListParagraph"/>
        <w:numPr>
          <w:ilvl w:val="0"/>
          <w:numId w:val="2"/>
        </w:numPr>
        <w:spacing w:before="40" w:after="40"/>
      </w:pPr>
      <w:r>
        <w:rPr>
          <w:rFonts w:ascii="Arial" w:cs="Arial" w:eastAsia="Arial" w:hAnsi="Arial"/>
          <w:color w:val="222222"/>
          <w:sz w:val="22"/>
          <w:szCs w:val="22"/>
        </w:rPr>
        <w:t xml:space="preserve">We will NOT re-define the hypothesis post-hoc to rescue a negative result</w:t>
      </w:r>
    </w:p>
    <w:p>
      <w:pPr>
        <w:spacing w:before="0" w:after="0"/>
      </w:pPr>
      <w:r>
        <w:rPr>
          <w:sz w:val="22"/>
          <w:szCs w:val="22"/>
        </w:rPr>
        <w:t xml:space="preserve"/>
      </w:r>
    </w:p>
    <w:p>
      <w:pPr>
        <w:pStyle w:val="Heading1"/>
        <w:pBdr>
          <w:bottom w:val="single" w:color="0D3F5F" w:sz="6" w:space="4"/>
        </w:pBdr>
        <w:spacing w:before="400" w:after="120"/>
      </w:pPr>
      <w:r>
        <w:rPr>
          <w:rFonts w:ascii="Arial" w:cs="Arial" w:eastAsia="Arial" w:hAnsi="Arial"/>
          <w:b/>
          <w:bCs/>
          <w:color w:val="0D3F5F"/>
          <w:sz w:val="30"/>
          <w:szCs w:val="30"/>
        </w:rPr>
        <w:t xml:space="preserve">9.  GitHub Commit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5C3D00" w:val="clear"/>
            <w:tcMar>
              <w:top w:type="dxa" w:w="0"/>
              <w:left w:type="dxa" w:w="0"/>
              <w:bottom w:type="dxa" w:w="0"/>
              <w:right w:type="dxa" w:w="0"/>
            </w:tcMar>
          </w:tcPr>
          <w:p>
            <w:r>
              <w:t xml:space="preserve"/>
            </w:r>
          </w:p>
        </w:tc>
        <w:tc>
          <w:tcPr>
            <w:tcW w:type="dxa" w:w="9120"/>
            <w:tcBorders>
              <w:top w:val="none" w:color="FFFFFF" w:sz="0"/>
              <w:left w:val="none" w:color="FFFFFF" w:sz="0"/>
              <w:bottom w:val="none" w:color="FFFFFF" w:sz="0"/>
              <w:right w:val="none" w:color="FFFFFF" w:sz="0"/>
            </w:tcBorders>
            <w:shd w:fill="FFF8E0" w:val="clear"/>
            <w:tcMar>
              <w:top w:type="dxa" w:w="100"/>
              <w:left w:type="dxa" w:w="200"/>
              <w:bottom w:type="dxa" w:w="100"/>
              <w:right w:type="dxa" w:w="200"/>
            </w:tcMar>
          </w:tcPr>
          <w:p>
            <w:pPr>
              <w:spacing w:before="80" w:after="60"/>
            </w:pPr>
            <w:r>
              <w:rPr>
                <w:rFonts w:ascii="Arial" w:cs="Arial" w:eastAsia="Arial" w:hAnsi="Arial"/>
                <w:b/>
                <w:bCs/>
                <w:color w:val="5C3D00"/>
                <w:sz w:val="20"/>
                <w:szCs w:val="20"/>
              </w:rPr>
              <w:t xml:space="preserve">Instructions: Complete this section immediately upon committing this document to the repository.</w:t>
            </w:r>
          </w:p>
          <w:p>
            <w:pPr>
              <w:spacing w:before="60" w:after="80"/>
            </w:pPr>
            <w:r>
              <w:rPr>
                <w:rFonts w:ascii="Arial" w:cs="Arial" w:eastAsia="Arial" w:hAnsi="Arial"/>
                <w:color w:val="222222"/>
                <w:sz w:val="22"/>
                <w:szCs w:val="22"/>
              </w:rPr>
              <w:t xml:space="preserve">This section must be filled in before any analysis is run. The commit hash is the timestamp proof of pre-registration.</w:t>
            </w:r>
          </w:p>
          <w:p>
            <w:pPr>
              <w:spacing w:before="60" w:after="0"/>
            </w:pPr>
            <w:r>
              <w:rPr>
                <w:sz w:val="18"/>
                <w:szCs w:val="18"/>
              </w:rPr>
              <w:t xml:space="preserve"/>
            </w:r>
          </w:p>
        </w:tc>
      </w:tr>
    </w:tbl>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Git commit hash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______________________________</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Commit timestamp (UTC)</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______________________________</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GitHub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github.com/synexisproject-bit/project-sentinel</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Branch</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main</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File path in repo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docs/phase1_preregistration_v1.docx</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bCs/>
                <w:color w:val="1A2B3C"/>
                <w:sz w:val="20"/>
                <w:szCs w:val="20"/>
              </w:rPr>
              <w:t xml:space="preserve">Signed by</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color w:val="333333"/>
                <w:sz w:val="20"/>
                <w:szCs w:val="20"/>
              </w:rPr>
              <w:t xml:space="preserve">The Synexis Project / JT</w:t>
            </w:r>
          </w:p>
        </w:tc>
      </w:tr>
    </w:tbl>
    <w:p>
      <w:pPr>
        <w:spacing w:before="0" w:after="0"/>
      </w:pPr>
      <w:r>
        <w:rPr>
          <w:sz w:val="22"/>
          <w:szCs w:val="22"/>
        </w:rPr>
        <w:t xml:space="preserve"/>
      </w:r>
    </w:p>
    <w:p>
      <w:pPr>
        <w:pBdr>
          <w:top w:val="single" w:color="CCCCCC" w:sz="4" w:space="6"/>
        </w:pBdr>
        <w:spacing w:before="360" w:after="0"/>
      </w:pPr>
      <w:r>
        <w:rPr>
          <w:rFonts w:ascii="Arial" w:cs="Arial" w:eastAsia="Arial" w:hAnsi="Arial"/>
          <w:i/>
          <w:iCs/>
          <w:color w:val="999999"/>
          <w:sz w:val="18"/>
          <w:szCs w:val="18"/>
        </w:rPr>
        <w:t xml:space="preserve">Project Sentinel Phase 1 Pre-Registration v1.0  •  The Synexis Project  •  March 6, 2026  •  This document is locked upon GitHub commit and may not be modified retroactively.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3F5F"/>
      <w:sz w:val="30"/>
      <w:szCs w:val="30"/>
    </w:rPr>
  </w:style>
  <w:style w:type="paragraph" w:styleId="Heading2">
    <w:name w:val="Heading 2"/>
    <w:basedOn w:val="Normal"/>
    <w:next w:val="Normal"/>
    <w:qFormat/>
    <w:pPr>
      <w:spacing w:before="280" w:after="80"/>
      <w:outlineLvl w:val="1"/>
    </w:pPr>
    <w:rPr>
      <w:rFonts w:ascii="Arial" w:cs="Arial" w:eastAsia="Arial" w:hAnsi="Arial"/>
      <w:b/>
      <w:bCs/>
      <w:color w:val="1A2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2026-03-06T05:50:59.738Z</dcterms:created>
  <dcterms:modified xsi:type="dcterms:W3CDTF">2026-03-06T05:50:59.738Z</dcterms:modified>
</cp:coreProperties>
</file>

<file path=docProps/custom.xml><?xml version="1.0" encoding="utf-8"?>
<Properties xmlns="http://schemas.openxmlformats.org/officeDocument/2006/custom-properties" xmlns:vt="http://schemas.openxmlformats.org/officeDocument/2006/docPropsVTypes"/>
</file>