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B2FA8"/>
          <w:spacing w:val="40"/>
          <w:sz w:val="20"/>
          <w:szCs w:val="20"/>
        </w:rPr>
        <w:t xml:space="preserve">THE SYNEXIS PROJECT</w:t>
      </w:r>
    </w:p>
    <w:p>
      <w:pPr>
        <w:pBdr>
          <w:bottom w:val="single" w:color="6B2FA8" w:sz="12" w:space="6"/>
        </w:pBdr>
        <w:spacing w:after="100"/>
      </w:pPr>
      <w:r>
        <w:rPr>
          <w:b/>
          <w:bCs/>
          <w:color w:val="333333"/>
          <w:sz w:val="30"/>
          <w:szCs w:val="30"/>
        </w:rPr>
        <w:t xml:space="preserve">Block 1 Addendum: Testing Class, Magnitude Threshold, Evaluation Window, and Catalog Filtering Rules</w:t>
      </w:r>
    </w:p>
    <w:p>
      <w:pPr>
        <w:shd w:fill="E8F4EC" w:color="auto" w:val="clear"/>
        <w:spacing w:after="160" w:before="40"/>
      </w:pPr>
      <w:r>
        <w:rPr>
          <w:b/>
          <w:bCs/>
          <w:color w:val="0E7C86"/>
          <w:sz w:val="21"/>
          <w:szCs w:val="21"/>
        </w:rPr>
        <w:t xml:space="preserve">PRE-REGISTRATION RECORD. Written 2026-10-19, before any catalog filtering, before any magnitude of completeness estimate, and before any evaluation.</w:t>
      </w:r>
    </w:p>
    <w:tbl>
      <w:tblPr>
        <w:tblW w:type="dxa" w:w="10080"/>
        <w:tblBorders>
          <w:top w:val="single" w:color="C9C9C9" w:sz="4"/>
          <w:left w:val="single" w:color="C9C9C9" w:sz="4"/>
          <w:bottom w:val="single" w:color="C9C9C9" w:sz="4"/>
          <w:right w:val="single" w:color="C9C9C9" w:sz="4"/>
          <w:insideH w:val="single" w:color="DADADA" w:sz="2"/>
          <w:insideV w:val="single" w:color="DADADA" w:sz="2"/>
        </w:tblBorders>
      </w:tblPr>
      <w:tblGrid>
        <w:gridCol w:w="2621"/>
        <w:gridCol w:w="7459"/>
      </w:tblGrid>
      <w:tr>
        <w:trPr>
          <w:tblHeader/>
        </w:trPr>
        <w:tc>
          <w:tcPr>
            <w:tcW w:type="dxa" w:w="2621"/>
            <w:shd w:fill="EDE4F5" w:color="auto" w:val="clear"/>
            <w:tcMar>
              <w:top w:type="dxa" w:w="60"/>
              <w:left w:type="dxa" w:w="100"/>
              <w:bottom w:type="dxa" w:w="60"/>
              <w:right w:type="dxa" w:w="100"/>
            </w:tcMar>
          </w:tcPr>
          <w:p>
            <w:pPr>
              <w:spacing w:after="0"/>
            </w:pPr>
            <w:r>
              <w:rPr>
                <w:b/>
                <w:bCs/>
                <w:color w:val="6B2FA8"/>
                <w:sz w:val="19"/>
                <w:szCs w:val="19"/>
              </w:rPr>
              <w:t xml:space="preserve">Field</w:t>
            </w:r>
          </w:p>
        </w:tc>
        <w:tc>
          <w:tcPr>
            <w:tcW w:type="dxa" w:w="7459"/>
            <w:shd w:fill="EDE4F5" w:color="auto" w:val="clear"/>
            <w:tcMar>
              <w:top w:type="dxa" w:w="60"/>
              <w:left w:type="dxa" w:w="100"/>
              <w:bottom w:type="dxa" w:w="60"/>
              <w:right w:type="dxa" w:w="100"/>
            </w:tcMar>
          </w:tcPr>
          <w:p>
            <w:pPr>
              <w:spacing w:after="0"/>
            </w:pPr>
            <w:r>
              <w:rPr>
                <w:b/>
                <w:bCs/>
                <w:color w:val="6B2FA8"/>
                <w:sz w:val="19"/>
                <w:szCs w:val="19"/>
              </w:rPr>
              <w:t xml:space="preserve">Value</w:t>
            </w:r>
          </w:p>
        </w:tc>
      </w:tr>
      <w:tr>
        <w:tc>
          <w:tcPr>
            <w:tcW w:type="dxa" w:w="2621"/>
            <w:tcMar>
              <w:top w:type="dxa" w:w="60"/>
              <w:left w:type="dxa" w:w="100"/>
              <w:bottom w:type="dxa" w:w="60"/>
              <w:right w:type="dxa" w:w="100"/>
            </w:tcMar>
          </w:tcPr>
          <w:p>
            <w:pPr>
              <w:spacing w:after="0"/>
            </w:pPr>
            <w:r>
              <w:rPr>
                <w:b w:val="false"/>
                <w:bCs w:val="false"/>
                <w:color w:val="333333"/>
                <w:sz w:val="19"/>
                <w:szCs w:val="19"/>
              </w:rPr>
              <w:t xml:space="preserve">Milestone</w:t>
            </w:r>
          </w:p>
        </w:tc>
        <w:tc>
          <w:tcPr>
            <w:tcW w:type="dxa" w:w="7459"/>
            <w:tcMar>
              <w:top w:type="dxa" w:w="60"/>
              <w:left w:type="dxa" w:w="100"/>
              <w:bottom w:type="dxa" w:w="60"/>
              <w:right w:type="dxa" w:w="100"/>
            </w:tcMar>
          </w:tcPr>
          <w:p>
            <w:pPr>
              <w:spacing w:after="0"/>
            </w:pPr>
            <w:r>
              <w:rPr>
                <w:b w:val="false"/>
                <w:bCs w:val="false"/>
                <w:color w:val="333333"/>
                <w:sz w:val="19"/>
                <w:szCs w:val="19"/>
              </w:rPr>
              <w:t xml:space="preserve">Sentinel Rebuild, Step 01 (Define the Target)</w:t>
            </w:r>
          </w:p>
        </w:tc>
      </w:tr>
      <w:tr>
        <w:tc>
          <w:tcPr>
            <w:tcW w:type="dxa" w:w="2621"/>
            <w:shd w:fill="F2F2F2" w:color="auto" w:val="clear"/>
            <w:tcMar>
              <w:top w:type="dxa" w:w="60"/>
              <w:left w:type="dxa" w:w="100"/>
              <w:bottom w:type="dxa" w:w="60"/>
              <w:right w:type="dxa" w:w="100"/>
            </w:tcMar>
          </w:tcPr>
          <w:p>
            <w:pPr>
              <w:spacing w:after="0"/>
            </w:pPr>
            <w:r>
              <w:rPr>
                <w:b w:val="false"/>
                <w:bCs w:val="false"/>
                <w:color w:val="333333"/>
                <w:sz w:val="19"/>
                <w:szCs w:val="19"/>
              </w:rPr>
              <w:t xml:space="preserve">Closes gate items</w:t>
            </w:r>
          </w:p>
        </w:tc>
        <w:tc>
          <w:tcPr>
            <w:tcW w:type="dxa" w:w="7459"/>
            <w:shd w:fill="F2F2F2" w:color="auto" w:val="clear"/>
            <w:tcMar>
              <w:top w:type="dxa" w:w="60"/>
              <w:left w:type="dxa" w:w="100"/>
              <w:bottom w:type="dxa" w:w="60"/>
              <w:right w:type="dxa" w:w="100"/>
            </w:tcMar>
          </w:tcPr>
          <w:p>
            <w:pPr>
              <w:spacing w:after="0"/>
            </w:pPr>
            <w:r>
              <w:rPr>
                <w:b w:val="false"/>
                <w:bCs w:val="false"/>
                <w:color w:val="333333"/>
                <w:sz w:val="19"/>
                <w:szCs w:val="19"/>
              </w:rPr>
              <w:t xml:space="preserve">D6, D7, D12</w:t>
            </w:r>
          </w:p>
        </w:tc>
      </w:tr>
      <w:tr>
        <w:tc>
          <w:tcPr>
            <w:tcW w:type="dxa" w:w="2621"/>
            <w:tcMar>
              <w:top w:type="dxa" w:w="60"/>
              <w:left w:type="dxa" w:w="100"/>
              <w:bottom w:type="dxa" w:w="60"/>
              <w:right w:type="dxa" w:w="100"/>
            </w:tcMar>
          </w:tcPr>
          <w:p>
            <w:pPr>
              <w:spacing w:after="0"/>
            </w:pPr>
            <w:r>
              <w:rPr>
                <w:b w:val="false"/>
                <w:bCs w:val="false"/>
                <w:color w:val="333333"/>
                <w:sz w:val="19"/>
                <w:szCs w:val="19"/>
              </w:rPr>
              <w:t xml:space="preserve">Repository head at writing</w:t>
            </w:r>
          </w:p>
        </w:tc>
        <w:tc>
          <w:tcPr>
            <w:tcW w:type="dxa" w:w="7459"/>
            <w:tcMar>
              <w:top w:type="dxa" w:w="60"/>
              <w:left w:type="dxa" w:w="100"/>
              <w:bottom w:type="dxa" w:w="60"/>
              <w:right w:type="dxa" w:w="100"/>
            </w:tcMar>
          </w:tcPr>
          <w:p>
            <w:pPr>
              <w:spacing w:after="0"/>
            </w:pPr>
            <w:r>
              <w:rPr>
                <w:b w:val="false"/>
                <w:bCs w:val="false"/>
                <w:color w:val="333333"/>
                <w:sz w:val="19"/>
                <w:szCs w:val="19"/>
              </w:rPr>
              <w:t xml:space="preserve">38f1770</w:t>
            </w:r>
          </w:p>
        </w:tc>
      </w:tr>
      <w:tr>
        <w:tc>
          <w:tcPr>
            <w:tcW w:type="dxa" w:w="2621"/>
            <w:shd w:fill="F2F2F2" w:color="auto" w:val="clear"/>
            <w:tcMar>
              <w:top w:type="dxa" w:w="60"/>
              <w:left w:type="dxa" w:w="100"/>
              <w:bottom w:type="dxa" w:w="60"/>
              <w:right w:type="dxa" w:w="100"/>
            </w:tcMar>
          </w:tcPr>
          <w:p>
            <w:pPr>
              <w:spacing w:after="0"/>
            </w:pPr>
            <w:r>
              <w:rPr>
                <w:b w:val="false"/>
                <w:bCs w:val="false"/>
                <w:color w:val="333333"/>
                <w:sz w:val="19"/>
                <w:szCs w:val="19"/>
              </w:rPr>
              <w:t xml:space="preserve">Status</w:t>
            </w:r>
          </w:p>
        </w:tc>
        <w:tc>
          <w:tcPr>
            <w:tcW w:type="dxa" w:w="7459"/>
            <w:shd w:fill="F2F2F2" w:color="auto" w:val="clear"/>
            <w:tcMar>
              <w:top w:type="dxa" w:w="60"/>
              <w:left w:type="dxa" w:w="100"/>
              <w:bottom w:type="dxa" w:w="60"/>
              <w:right w:type="dxa" w:w="100"/>
            </w:tcMar>
          </w:tcPr>
          <w:p>
            <w:pPr>
              <w:spacing w:after="0"/>
            </w:pPr>
            <w:r>
              <w:rPr>
                <w:b w:val="false"/>
                <w:bCs w:val="false"/>
                <w:color w:val="333333"/>
                <w:sz w:val="19"/>
                <w:szCs w:val="19"/>
              </w:rPr>
              <w:t xml:space="preserve">Insert into Block 1. Part D rows for D6, D7 and D12 are superseded by sections 2, 3 and 4 below.</w:t>
            </w:r>
          </w:p>
        </w:tc>
      </w:tr>
    </w:tbl>
    <w:p>
      <w:pPr>
        <w:pBdr>
          <w:bottom w:val="single" w:color="6B2FA8" w:sz="8" w:space="4"/>
        </w:pBdr>
        <w:spacing w:after="160" w:before="320"/>
      </w:pPr>
      <w:r>
        <w:rPr>
          <w:b/>
          <w:bCs/>
          <w:color w:val="6B2FA8"/>
          <w:sz w:val="28"/>
          <w:szCs w:val="28"/>
        </w:rPr>
        <w:t xml:space="preserve">1. Why this addendum exists, and why its order matters</w:t>
      </w:r>
    </w:p>
    <w:p>
      <w:pPr>
        <w:spacing w:after="120" w:before="0"/>
      </w:pPr>
      <w:r>
        <w:rPr>
          <w:color w:val="333333"/>
          <w:sz w:val="21"/>
          <w:szCs w:val="21"/>
        </w:rPr>
        <w:t xml:space="preserve">The evaluation window, the testing class and the magnitude threshold jointly determine which earthquakes count as target events. Deciding any of them after inspecting event counts would be selection on the outcome, however reasonable the resulting choice.</w:t>
      </w:r>
    </w:p>
    <w:p>
      <w:pPr>
        <w:spacing w:after="120" w:before="0"/>
      </w:pPr>
      <w:r>
        <w:rPr>
          <w:color w:val="333333"/>
          <w:sz w:val="21"/>
          <w:szCs w:val="21"/>
        </w:rPr>
        <w:t xml:space="preserve">Each decision below is therefore justified by something external to the catalog: the published CSEP-Japan testing class definitions, the temporal scale of the hypothesis under test, and the availability windows of the two data sources. None is justified by an event count.</w:t>
      </w:r>
    </w:p>
    <w:p>
      <w:pPr>
        <w:spacing w:after="120" w:before="0"/>
      </w:pPr>
      <w:r>
        <w:rPr>
          <w:i/>
          <w:iCs/>
          <w:color w:val="595959"/>
        </w:rPr>
        <w:t xml:space="preserve">Section 6 records measured properties of the JMA magnitude scale. Those measurements were taken on 2026-10-17 from the 2023 catalog year. They are recorded as a known condition of the data, and they did not influence sections 2, 3 or 4, each of which follows from an argument that would hold whatever the measurements had shown. Section 7 pre-registers the sensitivity analysis that those properties make advisable.</w:t>
      </w:r>
    </w:p>
    <w:p>
      <w:pPr>
        <w:pBdr>
          <w:bottom w:val="single" w:color="6B2FA8" w:sz="8" w:space="4"/>
        </w:pBdr>
        <w:spacing w:after="160" w:before="320"/>
      </w:pPr>
      <w:r>
        <w:rPr>
          <w:b/>
          <w:bCs/>
          <w:color w:val="6B2FA8"/>
          <w:sz w:val="28"/>
          <w:szCs w:val="28"/>
        </w:rPr>
        <w:t xml:space="preserve">2. D7. Testing class</w:t>
      </w:r>
    </w:p>
    <w:p>
      <w:pPr>
        <w:shd w:fill="E8F4EC" w:color="auto" w:val="clear"/>
        <w:spacing w:after="140"/>
      </w:pPr>
      <w:r>
        <w:rPr>
          <w:b/>
          <w:bCs/>
          <w:color w:val="0E7C86"/>
          <w:sz w:val="21"/>
          <w:szCs w:val="21"/>
        </w:rPr>
        <w:t xml:space="preserve">DECIDED: CSEP-Japan 1-day testing class.</w:t>
      </w:r>
    </w:p>
    <w:p>
      <w:pPr>
        <w:spacing w:after="100" w:before="220"/>
      </w:pPr>
      <w:r>
        <w:rPr>
          <w:b/>
          <w:bCs/>
          <w:color w:val="0E7C86"/>
          <w:sz w:val="23"/>
          <w:szCs w:val="23"/>
        </w:rPr>
        <w:t xml:space="preserve">Basis</w:t>
      </w:r>
    </w:p>
    <w:p>
      <w:pPr>
        <w:spacing w:after="120" w:before="0"/>
      </w:pPr>
      <w:r>
        <w:rPr>
          <w:color w:val="333333"/>
          <w:sz w:val="21"/>
          <w:szCs w:val="21"/>
        </w:rPr>
        <w:t xml:space="preserve">The hypothesis under test concerns lithosphere-atmosphere-ionosphere coupling precursor windows measured in days. The windows carried in the Sentinel literature review are thermal at 12 to 20 days before an event, atmospheric at 5 to 10 days, and ionospheric at 1 to 5 days.</w:t>
      </w:r>
    </w:p>
    <w:p>
      <w:pPr>
        <w:spacing w:after="120" w:before="0"/>
      </w:pPr>
      <w:r>
        <w:rPr>
          <w:color w:val="333333"/>
          <w:sz w:val="21"/>
          <w:szCs w:val="21"/>
        </w:rPr>
        <w:t xml:space="preserve">A forecast horizon must be commensurate with the temporal scale of the predictor it is meant to carry. A predictor whose signal occupies a window of days, integrated over a forecast horizon of a year, is diluted by the ratio between the two.</w:t>
      </w:r>
    </w:p>
    <w:tbl>
      <w:tblPr>
        <w:tblW w:type="dxa" w:w="10080"/>
        <w:tblBorders>
          <w:top w:val="single" w:color="C9C9C9" w:sz="4"/>
          <w:left w:val="single" w:color="C9C9C9" w:sz="4"/>
          <w:bottom w:val="single" w:color="C9C9C9" w:sz="4"/>
          <w:right w:val="single" w:color="C9C9C9" w:sz="4"/>
          <w:insideH w:val="single" w:color="DADADA" w:sz="2"/>
          <w:insideV w:val="single" w:color="DADADA" w:sz="2"/>
        </w:tblBorders>
      </w:tblPr>
      <w:tblGrid>
        <w:gridCol w:w="1613"/>
        <w:gridCol w:w="5040"/>
        <w:gridCol w:w="3427"/>
      </w:tblGrid>
      <w:tr>
        <w:trPr>
          <w:tblHeader/>
        </w:trPr>
        <w:tc>
          <w:tcPr>
            <w:tcW w:type="dxa" w:w="1613"/>
            <w:shd w:fill="EDE4F5" w:color="auto" w:val="clear"/>
            <w:tcMar>
              <w:top w:type="dxa" w:w="60"/>
              <w:left w:type="dxa" w:w="100"/>
              <w:bottom w:type="dxa" w:w="60"/>
              <w:right w:type="dxa" w:w="100"/>
            </w:tcMar>
          </w:tcPr>
          <w:p>
            <w:pPr>
              <w:spacing w:after="0"/>
            </w:pPr>
            <w:r>
              <w:rPr>
                <w:b/>
                <w:bCs/>
                <w:color w:val="6B2FA8"/>
                <w:sz w:val="19"/>
                <w:szCs w:val="19"/>
              </w:rPr>
              <w:t xml:space="preserve">Testing class</w:t>
            </w:r>
          </w:p>
        </w:tc>
        <w:tc>
          <w:tcPr>
            <w:tcW w:type="dxa" w:w="5040"/>
            <w:shd w:fill="EDE4F5" w:color="auto" w:val="clear"/>
            <w:tcMar>
              <w:top w:type="dxa" w:w="60"/>
              <w:left w:type="dxa" w:w="100"/>
              <w:bottom w:type="dxa" w:w="60"/>
              <w:right w:type="dxa" w:w="100"/>
            </w:tcMar>
          </w:tcPr>
          <w:p>
            <w:pPr>
              <w:spacing w:after="0"/>
            </w:pPr>
            <w:r>
              <w:rPr>
                <w:b/>
                <w:bCs/>
                <w:color w:val="6B2FA8"/>
                <w:sz w:val="19"/>
                <w:szCs w:val="19"/>
              </w:rPr>
              <w:t xml:space="preserve">Horizon against the longest claimed window (20 d)</w:t>
            </w:r>
          </w:p>
        </w:tc>
        <w:tc>
          <w:tcPr>
            <w:tcW w:type="dxa" w:w="3427"/>
            <w:shd w:fill="EDE4F5" w:color="auto" w:val="clear"/>
            <w:tcMar>
              <w:top w:type="dxa" w:w="60"/>
              <w:left w:type="dxa" w:w="100"/>
              <w:bottom w:type="dxa" w:w="60"/>
              <w:right w:type="dxa" w:w="100"/>
            </w:tcMar>
          </w:tcPr>
          <w:p>
            <w:pPr>
              <w:spacing w:after="0"/>
            </w:pPr>
            <w:r>
              <w:rPr>
                <w:b/>
                <w:bCs/>
                <w:color w:val="6B2FA8"/>
                <w:sz w:val="19"/>
                <w:szCs w:val="19"/>
              </w:rPr>
              <w:t xml:space="preserve">Assessment</w:t>
            </w:r>
          </w:p>
        </w:tc>
      </w:tr>
      <w:tr>
        <w:tc>
          <w:tcPr>
            <w:tcW w:type="dxa" w:w="1613"/>
            <w:shd w:fill="E8F4EC" w:color="auto" w:val="clear"/>
            <w:tcMar>
              <w:top w:type="dxa" w:w="60"/>
              <w:left w:type="dxa" w:w="100"/>
              <w:bottom w:type="dxa" w:w="60"/>
              <w:right w:type="dxa" w:w="100"/>
            </w:tcMar>
          </w:tcPr>
          <w:p>
            <w:pPr>
              <w:spacing w:after="0"/>
            </w:pPr>
            <w:r>
              <w:rPr>
                <w:b w:val="false"/>
                <w:bCs w:val="false"/>
                <w:color w:val="333333"/>
                <w:sz w:val="19"/>
                <w:szCs w:val="19"/>
              </w:rPr>
              <w:t xml:space="preserve">1 day</w:t>
            </w:r>
          </w:p>
        </w:tc>
        <w:tc>
          <w:tcPr>
            <w:tcW w:type="dxa" w:w="5040"/>
            <w:shd w:fill="E8F4EC" w:color="auto" w:val="clear"/>
            <w:tcMar>
              <w:top w:type="dxa" w:w="60"/>
              <w:left w:type="dxa" w:w="100"/>
              <w:bottom w:type="dxa" w:w="60"/>
              <w:right w:type="dxa" w:w="100"/>
            </w:tcMar>
          </w:tcPr>
          <w:p>
            <w:pPr>
              <w:spacing w:after="0"/>
            </w:pPr>
            <w:r>
              <w:rPr>
                <w:b w:val="false"/>
                <w:bCs w:val="false"/>
                <w:color w:val="333333"/>
                <w:sz w:val="19"/>
                <w:szCs w:val="19"/>
              </w:rPr>
              <w:t xml:space="preserve">Matches the ionospheric window (1 to 5 d) directly. A daily forecast can carry a predictor computed from the preceding days.</w:t>
            </w:r>
          </w:p>
        </w:tc>
        <w:tc>
          <w:tcPr>
            <w:tcW w:type="dxa" w:w="3427"/>
            <w:shd w:fill="E8F4EC" w:color="auto" w:val="clear"/>
            <w:tcMar>
              <w:top w:type="dxa" w:w="60"/>
              <w:left w:type="dxa" w:w="100"/>
              <w:bottom w:type="dxa" w:w="60"/>
              <w:right w:type="dxa" w:w="100"/>
            </w:tcMar>
          </w:tcPr>
          <w:p>
            <w:pPr>
              <w:spacing w:after="0"/>
            </w:pPr>
            <w:r>
              <w:rPr>
                <w:b w:val="false"/>
                <w:bCs w:val="false"/>
                <w:color w:val="333333"/>
                <w:sz w:val="19"/>
                <w:szCs w:val="19"/>
              </w:rPr>
              <w:t xml:space="preserve">SELECTED</w:t>
            </w:r>
          </w:p>
        </w:tc>
      </w:tr>
      <w:tr>
        <w:tc>
          <w:tcPr>
            <w:tcW w:type="dxa" w:w="1613"/>
            <w:shd w:fill="F2F2F2" w:color="auto" w:val="clear"/>
            <w:tcMar>
              <w:top w:type="dxa" w:w="60"/>
              <w:left w:type="dxa" w:w="100"/>
              <w:bottom w:type="dxa" w:w="60"/>
              <w:right w:type="dxa" w:w="100"/>
            </w:tcMar>
          </w:tcPr>
          <w:p>
            <w:pPr>
              <w:spacing w:after="0"/>
            </w:pPr>
            <w:r>
              <w:rPr>
                <w:b w:val="false"/>
                <w:bCs w:val="false"/>
                <w:color w:val="333333"/>
                <w:sz w:val="19"/>
                <w:szCs w:val="19"/>
              </w:rPr>
              <w:t xml:space="preserve">3 months</w:t>
            </w:r>
          </w:p>
        </w:tc>
        <w:tc>
          <w:tcPr>
            <w:tcW w:type="dxa" w:w="5040"/>
            <w:shd w:fill="F2F2F2" w:color="auto" w:val="clear"/>
            <w:tcMar>
              <w:top w:type="dxa" w:w="60"/>
              <w:left w:type="dxa" w:w="100"/>
              <w:bottom w:type="dxa" w:w="60"/>
              <w:right w:type="dxa" w:w="100"/>
            </w:tcMar>
          </w:tcPr>
          <w:p>
            <w:pPr>
              <w:spacing w:after="0"/>
            </w:pPr>
            <w:r>
              <w:rPr>
                <w:b w:val="false"/>
                <w:bCs w:val="false"/>
                <w:color w:val="333333"/>
                <w:sz w:val="19"/>
                <w:szCs w:val="19"/>
              </w:rPr>
              <w:t xml:space="preserve">About 4 to 5 times the longest claimed window</w:t>
            </w:r>
          </w:p>
        </w:tc>
        <w:tc>
          <w:tcPr>
            <w:tcW w:type="dxa" w:w="3427"/>
            <w:shd w:fill="F2F2F2" w:color="auto" w:val="clear"/>
            <w:tcMar>
              <w:top w:type="dxa" w:w="60"/>
              <w:left w:type="dxa" w:w="100"/>
              <w:bottom w:type="dxa" w:w="60"/>
              <w:right w:type="dxa" w:w="100"/>
            </w:tcMar>
          </w:tcPr>
          <w:p>
            <w:pPr>
              <w:spacing w:after="0"/>
            </w:pPr>
            <w:r>
              <w:rPr>
                <w:b w:val="false"/>
                <w:bCs w:val="false"/>
                <w:color w:val="333333"/>
                <w:sz w:val="19"/>
                <w:szCs w:val="19"/>
              </w:rPr>
              <w:t xml:space="preserve">Rejected. A days-scale signal is substantially diluted.</w:t>
            </w:r>
          </w:p>
        </w:tc>
      </w:tr>
      <w:tr>
        <w:tc>
          <w:tcPr>
            <w:tcW w:type="dxa" w:w="1613"/>
            <w:tcMar>
              <w:top w:type="dxa" w:w="60"/>
              <w:left w:type="dxa" w:w="100"/>
              <w:bottom w:type="dxa" w:w="60"/>
              <w:right w:type="dxa" w:w="100"/>
            </w:tcMar>
          </w:tcPr>
          <w:p>
            <w:pPr>
              <w:spacing w:after="0"/>
            </w:pPr>
            <w:r>
              <w:rPr>
                <w:b w:val="false"/>
                <w:bCs w:val="false"/>
                <w:color w:val="333333"/>
                <w:sz w:val="19"/>
                <w:szCs w:val="19"/>
              </w:rPr>
              <w:t xml:space="preserve">1 year</w:t>
            </w:r>
          </w:p>
        </w:tc>
        <w:tc>
          <w:tcPr>
            <w:tcW w:type="dxa" w:w="5040"/>
            <w:tcMar>
              <w:top w:type="dxa" w:w="60"/>
              <w:left w:type="dxa" w:w="100"/>
              <w:bottom w:type="dxa" w:w="60"/>
              <w:right w:type="dxa" w:w="100"/>
            </w:tcMar>
          </w:tcPr>
          <w:p>
            <w:pPr>
              <w:spacing w:after="0"/>
            </w:pPr>
            <w:r>
              <w:rPr>
                <w:b w:val="false"/>
                <w:bCs w:val="false"/>
                <w:color w:val="333333"/>
                <w:sz w:val="19"/>
                <w:szCs w:val="19"/>
              </w:rPr>
              <w:t xml:space="preserve">About 18 times</w:t>
            </w:r>
          </w:p>
        </w:tc>
        <w:tc>
          <w:tcPr>
            <w:tcW w:type="dxa" w:w="3427"/>
            <w:tcMar>
              <w:top w:type="dxa" w:w="60"/>
              <w:left w:type="dxa" w:w="100"/>
              <w:bottom w:type="dxa" w:w="60"/>
              <w:right w:type="dxa" w:w="100"/>
            </w:tcMar>
          </w:tcPr>
          <w:p>
            <w:pPr>
              <w:spacing w:after="0"/>
            </w:pPr>
            <w:r>
              <w:rPr>
                <w:b w:val="false"/>
                <w:bCs w:val="false"/>
                <w:color w:val="333333"/>
                <w:sz w:val="19"/>
                <w:szCs w:val="19"/>
              </w:rPr>
              <w:t xml:space="preserve">Rejected. Cannot test a days-scale predictor.</w:t>
            </w:r>
          </w:p>
        </w:tc>
      </w:tr>
      <w:tr>
        <w:tc>
          <w:tcPr>
            <w:tcW w:type="dxa" w:w="1613"/>
            <w:shd w:fill="F2F2F2" w:color="auto" w:val="clear"/>
            <w:tcMar>
              <w:top w:type="dxa" w:w="60"/>
              <w:left w:type="dxa" w:w="100"/>
              <w:bottom w:type="dxa" w:w="60"/>
              <w:right w:type="dxa" w:w="100"/>
            </w:tcMar>
          </w:tcPr>
          <w:p>
            <w:pPr>
              <w:spacing w:after="0"/>
            </w:pPr>
            <w:r>
              <w:rPr>
                <w:b w:val="false"/>
                <w:bCs w:val="false"/>
                <w:color w:val="333333"/>
                <w:sz w:val="19"/>
                <w:szCs w:val="19"/>
              </w:rPr>
              <w:t xml:space="preserve">3 years</w:t>
            </w:r>
          </w:p>
        </w:tc>
        <w:tc>
          <w:tcPr>
            <w:tcW w:type="dxa" w:w="5040"/>
            <w:shd w:fill="F2F2F2" w:color="auto" w:val="clear"/>
            <w:tcMar>
              <w:top w:type="dxa" w:w="60"/>
              <w:left w:type="dxa" w:w="100"/>
              <w:bottom w:type="dxa" w:w="60"/>
              <w:right w:type="dxa" w:w="100"/>
            </w:tcMar>
          </w:tcPr>
          <w:p>
            <w:pPr>
              <w:spacing w:after="0"/>
            </w:pPr>
            <w:r>
              <w:rPr>
                <w:b w:val="false"/>
                <w:bCs w:val="false"/>
                <w:color w:val="333333"/>
                <w:sz w:val="19"/>
                <w:szCs w:val="19"/>
              </w:rPr>
              <w:t xml:space="preserve">About 55 times</w:t>
            </w:r>
          </w:p>
        </w:tc>
        <w:tc>
          <w:tcPr>
            <w:tcW w:type="dxa" w:w="3427"/>
            <w:shd w:fill="F2F2F2" w:color="auto" w:val="clear"/>
            <w:tcMar>
              <w:top w:type="dxa" w:w="60"/>
              <w:left w:type="dxa" w:w="100"/>
              <w:bottom w:type="dxa" w:w="60"/>
              <w:right w:type="dxa" w:w="100"/>
            </w:tcMar>
          </w:tcPr>
          <w:p>
            <w:pPr>
              <w:spacing w:after="0"/>
            </w:pPr>
            <w:r>
              <w:rPr>
                <w:b w:val="false"/>
                <w:bCs w:val="false"/>
                <w:color w:val="333333"/>
                <w:sz w:val="19"/>
                <w:szCs w:val="19"/>
              </w:rPr>
              <w:t xml:space="preserve">Rejected. Cannot test a days-scale predictor.</w:t>
            </w:r>
          </w:p>
        </w:tc>
      </w:tr>
    </w:tbl>
    <w:p>
      <w:pPr>
        <w:spacing w:after="120" w:before="0"/>
      </w:pPr>
      <w:r>
        <w:rPr>
          <w:color w:val="333333"/>
          <w:sz w:val="21"/>
          <w:szCs w:val="21"/>
        </w:rPr>
        <w:t xml:space="preserve">This choice is forced by the hypothesis. It was not made by comparing target event counts across classes, and it would be the same choice if Japan produced a tenth as many earthquakes.</w:t>
      </w:r>
    </w:p>
    <w:p>
      <w:pPr>
        <w:pBdr>
          <w:bottom w:val="single" w:color="6B2FA8" w:sz="8" w:space="4"/>
        </w:pBdr>
        <w:spacing w:after="160" w:before="320"/>
      </w:pPr>
      <w:r>
        <w:rPr>
          <w:b/>
          <w:bCs/>
          <w:color w:val="6B2FA8"/>
          <w:sz w:val="28"/>
          <w:szCs w:val="28"/>
        </w:rPr>
        <w:t xml:space="preserve">3. D6. Magnitude threshold and bin width</w:t>
      </w:r>
    </w:p>
    <w:p>
      <w:pPr>
        <w:shd w:fill="E8F4EC" w:color="auto" w:val="clear"/>
        <w:spacing w:after="140"/>
      </w:pPr>
      <w:r>
        <w:rPr>
          <w:b/>
          <w:bCs/>
          <w:color w:val="0E7C86"/>
          <w:sz w:val="21"/>
          <w:szCs w:val="21"/>
        </w:rPr>
        <w:t xml:space="preserve">DECIDED: 4.0 ≤ M ≤ 9.0 in 0.1 magnitude bins, adopted unmodified from the published CSEP-Japan 1-day testing class definition. The M = 4.0 bin covers 3.95 ≤ M &lt; 4.05.</w:t>
      </w:r>
    </w:p>
    <w:p>
      <w:pPr>
        <w:spacing w:after="100" w:before="220"/>
      </w:pPr>
      <w:r>
        <w:rPr>
          <w:b/>
          <w:bCs/>
          <w:color w:val="0E7C86"/>
          <w:sz w:val="23"/>
          <w:szCs w:val="23"/>
        </w:rPr>
        <w:t xml:space="preserve">Basis</w:t>
      </w:r>
    </w:p>
    <w:p>
      <w:pPr>
        <w:spacing w:after="120" w:before="0"/>
      </w:pPr>
      <w:r>
        <w:rPr>
          <w:color w:val="333333"/>
          <w:sz w:val="21"/>
          <w:szCs w:val="21"/>
        </w:rPr>
        <w:t xml:space="preserve">D7 determines D6. The magnitude range and bin width are properties of the testing class, not free parameters. Having adopted the 1-day class, the threshold follows from the published definition and is not ours to set.</w:t>
      </w:r>
    </w:p>
    <w:p>
      <w:pPr>
        <w:spacing w:after="120" w:before="0"/>
      </w:pPr>
      <w:r>
        <w:rPr>
          <w:color w:val="333333"/>
          <w:sz w:val="21"/>
          <w:szCs w:val="21"/>
        </w:rPr>
        <w:t xml:space="preserve">This is the same posture taken with the region itself, which was requested from the testing centre and adopted unmodified rather than constructed. Adopting rather than choosing removes threshold selection as a line of reviewer objection.</w:t>
      </w:r>
    </w:p>
    <w:p>
      <w:pPr>
        <w:spacing w:after="100" w:before="220"/>
      </w:pPr>
      <w:r>
        <w:rPr>
          <w:b/>
          <w:bCs/>
          <w:color w:val="0E7C86"/>
          <w:sz w:val="23"/>
          <w:szCs w:val="23"/>
        </w:rPr>
        <w:t xml:space="preserve">Magnitude scale</w:t>
      </w:r>
    </w:p>
    <w:p>
      <w:pPr>
        <w:spacing w:after="120" w:before="0"/>
      </w:pPr>
      <w:r>
        <w:rPr>
          <w:color w:val="333333"/>
          <w:sz w:val="21"/>
          <w:szCs w:val="21"/>
        </w:rPr>
        <w:t xml:space="preserve">The threshold applies to the JMA magnitude. In the JMA hypocenter file the magnitude type is a single-character code in column 55 for the first magnitude and column 58 for the second.</w:t>
      </w:r>
    </w:p>
    <w:tbl>
      <w:tblPr>
        <w:tblW w:type="dxa" w:w="10080"/>
        <w:tblBorders>
          <w:top w:val="single" w:color="C9C9C9" w:sz="4"/>
          <w:left w:val="single" w:color="C9C9C9" w:sz="4"/>
          <w:bottom w:val="single" w:color="C9C9C9" w:sz="4"/>
          <w:right w:val="single" w:color="C9C9C9" w:sz="4"/>
          <w:insideH w:val="single" w:color="DADADA" w:sz="2"/>
          <w:insideV w:val="single" w:color="DADADA" w:sz="2"/>
        </w:tblBorders>
      </w:tblPr>
      <w:tblGrid>
        <w:gridCol w:w="1210"/>
        <w:gridCol w:w="3830"/>
        <w:gridCol w:w="5040"/>
      </w:tblGrid>
      <w:tr>
        <w:trPr>
          <w:tblHeader/>
        </w:trPr>
        <w:tc>
          <w:tcPr>
            <w:tcW w:type="dxa" w:w="1210"/>
            <w:shd w:fill="EDE4F5" w:color="auto" w:val="clear"/>
            <w:tcMar>
              <w:top w:type="dxa" w:w="60"/>
              <w:left w:type="dxa" w:w="100"/>
              <w:bottom w:type="dxa" w:w="60"/>
              <w:right w:type="dxa" w:w="100"/>
            </w:tcMar>
          </w:tcPr>
          <w:p>
            <w:pPr>
              <w:spacing w:after="0"/>
            </w:pPr>
            <w:r>
              <w:rPr>
                <w:b/>
                <w:bCs/>
                <w:color w:val="6B2FA8"/>
                <w:sz w:val="19"/>
                <w:szCs w:val="19"/>
              </w:rPr>
              <w:t xml:space="preserve">Code</w:t>
            </w:r>
          </w:p>
        </w:tc>
        <w:tc>
          <w:tcPr>
            <w:tcW w:type="dxa" w:w="3830"/>
            <w:shd w:fill="EDE4F5" w:color="auto" w:val="clear"/>
            <w:tcMar>
              <w:top w:type="dxa" w:w="60"/>
              <w:left w:type="dxa" w:w="100"/>
              <w:bottom w:type="dxa" w:w="60"/>
              <w:right w:type="dxa" w:w="100"/>
            </w:tcMar>
          </w:tcPr>
          <w:p>
            <w:pPr>
              <w:spacing w:after="0"/>
            </w:pPr>
            <w:r>
              <w:rPr>
                <w:b/>
                <w:bCs/>
                <w:color w:val="6B2FA8"/>
                <w:sz w:val="19"/>
                <w:szCs w:val="19"/>
              </w:rPr>
              <w:t xml:space="preserve">Scale</w:t>
            </w:r>
          </w:p>
        </w:tc>
        <w:tc>
          <w:tcPr>
            <w:tcW w:type="dxa" w:w="5040"/>
            <w:shd w:fill="EDE4F5" w:color="auto" w:val="clear"/>
            <w:tcMar>
              <w:top w:type="dxa" w:w="60"/>
              <w:left w:type="dxa" w:w="100"/>
              <w:bottom w:type="dxa" w:w="60"/>
              <w:right w:type="dxa" w:w="100"/>
            </w:tcMar>
          </w:tcPr>
          <w:p>
            <w:pPr>
              <w:spacing w:after="0"/>
            </w:pPr>
            <w:r>
              <w:rPr>
                <w:b/>
                <w:bCs/>
                <w:color w:val="6B2FA8"/>
                <w:sz w:val="19"/>
                <w:szCs w:val="19"/>
              </w:rPr>
              <w:t xml:space="preserve">Treatment</w:t>
            </w:r>
          </w:p>
        </w:tc>
      </w:tr>
      <w:tr>
        <w:tc>
          <w:tcPr>
            <w:tcW w:type="dxa" w:w="1210"/>
            <w:shd w:fill="E8F4EC" w:color="auto" w:val="clear"/>
            <w:tcMar>
              <w:top w:type="dxa" w:w="60"/>
              <w:left w:type="dxa" w:w="100"/>
              <w:bottom w:type="dxa" w:w="60"/>
              <w:right w:type="dxa" w:w="100"/>
            </w:tcMar>
          </w:tcPr>
          <w:p>
            <w:pPr>
              <w:spacing w:after="0"/>
            </w:pPr>
            <w:r>
              <w:rPr>
                <w:b w:val="false"/>
                <w:bCs w:val="false"/>
                <w:color w:val="333333"/>
                <w:sz w:val="19"/>
                <w:szCs w:val="19"/>
              </w:rPr>
              <w:t xml:space="preserve">V</w:t>
            </w:r>
          </w:p>
        </w:tc>
        <w:tc>
          <w:tcPr>
            <w:tcW w:type="dxa" w:w="3830"/>
            <w:shd w:fill="E8F4EC" w:color="auto" w:val="clear"/>
            <w:tcMar>
              <w:top w:type="dxa" w:w="60"/>
              <w:left w:type="dxa" w:w="100"/>
              <w:bottom w:type="dxa" w:w="60"/>
              <w:right w:type="dxa" w:w="100"/>
            </w:tcMar>
          </w:tcPr>
          <w:p>
            <w:pPr>
              <w:spacing w:after="0"/>
            </w:pPr>
            <w:r>
              <w:rPr>
                <w:b w:val="false"/>
                <w:bCs w:val="false"/>
                <w:color w:val="333333"/>
                <w:sz w:val="19"/>
                <w:szCs w:val="19"/>
              </w:rPr>
              <w:t xml:space="preserve">MV, velocity magnitude</w:t>
            </w:r>
          </w:p>
        </w:tc>
        <w:tc>
          <w:tcPr>
            <w:tcW w:type="dxa" w:w="5040"/>
            <w:shd w:fill="E8F4EC" w:color="auto" w:val="clear"/>
            <w:tcMar>
              <w:top w:type="dxa" w:w="60"/>
              <w:left w:type="dxa" w:w="100"/>
              <w:bottom w:type="dxa" w:w="60"/>
              <w:right w:type="dxa" w:w="100"/>
            </w:tcMar>
          </w:tcPr>
          <w:p>
            <w:pPr>
              <w:spacing w:after="0"/>
            </w:pPr>
            <w:r>
              <w:rPr>
                <w:b w:val="false"/>
                <w:bCs w:val="false"/>
                <w:color w:val="333333"/>
                <w:sz w:val="19"/>
                <w:szCs w:val="19"/>
              </w:rPr>
              <w:t xml:space="preserve">INCLUDED. JMA magnitude.</w:t>
            </w:r>
          </w:p>
        </w:tc>
      </w:tr>
      <w:tr>
        <w:tc>
          <w:tcPr>
            <w:tcW w:type="dxa" w:w="1210"/>
            <w:shd w:fill="E8F4EC" w:color="auto" w:val="clear"/>
            <w:tcMar>
              <w:top w:type="dxa" w:w="60"/>
              <w:left w:type="dxa" w:w="100"/>
              <w:bottom w:type="dxa" w:w="60"/>
              <w:right w:type="dxa" w:w="100"/>
            </w:tcMar>
          </w:tcPr>
          <w:p>
            <w:pPr>
              <w:spacing w:after="0"/>
            </w:pPr>
            <w:r>
              <w:rPr>
                <w:b w:val="false"/>
                <w:bCs w:val="false"/>
                <w:color w:val="333333"/>
                <w:sz w:val="19"/>
                <w:szCs w:val="19"/>
              </w:rPr>
              <w:t xml:space="preserve">v</w:t>
            </w:r>
          </w:p>
        </w:tc>
        <w:tc>
          <w:tcPr>
            <w:tcW w:type="dxa" w:w="3830"/>
            <w:shd w:fill="E8F4EC" w:color="auto" w:val="clear"/>
            <w:tcMar>
              <w:top w:type="dxa" w:w="60"/>
              <w:left w:type="dxa" w:w="100"/>
              <w:bottom w:type="dxa" w:w="60"/>
              <w:right w:type="dxa" w:w="100"/>
            </w:tcMar>
          </w:tcPr>
          <w:p>
            <w:pPr>
              <w:spacing w:after="0"/>
            </w:pPr>
            <w:r>
              <w:rPr>
                <w:b w:val="false"/>
                <w:bCs w:val="false"/>
                <w:color w:val="333333"/>
                <w:sz w:val="19"/>
                <w:szCs w:val="19"/>
              </w:rPr>
              <w:t xml:space="preserve">MV, two or three stations</w:t>
            </w:r>
          </w:p>
        </w:tc>
        <w:tc>
          <w:tcPr>
            <w:tcW w:type="dxa" w:w="5040"/>
            <w:shd w:fill="E8F4EC" w:color="auto" w:val="clear"/>
            <w:tcMar>
              <w:top w:type="dxa" w:w="60"/>
              <w:left w:type="dxa" w:w="100"/>
              <w:bottom w:type="dxa" w:w="60"/>
              <w:right w:type="dxa" w:w="100"/>
            </w:tcMar>
          </w:tcPr>
          <w:p>
            <w:pPr>
              <w:spacing w:after="0"/>
            </w:pPr>
            <w:r>
              <w:rPr>
                <w:b w:val="false"/>
                <w:bCs w:val="false"/>
                <w:color w:val="333333"/>
                <w:sz w:val="19"/>
                <w:szCs w:val="19"/>
              </w:rPr>
              <w:t xml:space="preserve">INCLUDED. JMA magnitude.</w:t>
            </w:r>
          </w:p>
        </w:tc>
      </w:tr>
      <w:tr>
        <w:tc>
          <w:tcPr>
            <w:tcW w:type="dxa" w:w="1210"/>
            <w:shd w:fill="E8F4EC" w:color="auto" w:val="clear"/>
            <w:tcMar>
              <w:top w:type="dxa" w:w="60"/>
              <w:left w:type="dxa" w:w="100"/>
              <w:bottom w:type="dxa" w:w="60"/>
              <w:right w:type="dxa" w:w="100"/>
            </w:tcMar>
          </w:tcPr>
          <w:p>
            <w:pPr>
              <w:spacing w:after="0"/>
            </w:pPr>
            <w:r>
              <w:rPr>
                <w:b w:val="false"/>
                <w:bCs w:val="false"/>
                <w:color w:val="333333"/>
                <w:sz w:val="19"/>
                <w:szCs w:val="19"/>
              </w:rPr>
              <w:t xml:space="preserve">D</w:t>
            </w:r>
          </w:p>
        </w:tc>
        <w:tc>
          <w:tcPr>
            <w:tcW w:type="dxa" w:w="3830"/>
            <w:shd w:fill="E8F4EC" w:color="auto" w:val="clear"/>
            <w:tcMar>
              <w:top w:type="dxa" w:w="60"/>
              <w:left w:type="dxa" w:w="100"/>
              <w:bottom w:type="dxa" w:w="60"/>
              <w:right w:type="dxa" w:w="100"/>
            </w:tcMar>
          </w:tcPr>
          <w:p>
            <w:pPr>
              <w:spacing w:after="0"/>
            </w:pPr>
            <w:r>
              <w:rPr>
                <w:b w:val="false"/>
                <w:bCs w:val="false"/>
                <w:color w:val="333333"/>
                <w:sz w:val="19"/>
                <w:szCs w:val="19"/>
              </w:rPr>
              <w:t xml:space="preserve">MD, displacement magnitude</w:t>
            </w:r>
          </w:p>
        </w:tc>
        <w:tc>
          <w:tcPr>
            <w:tcW w:type="dxa" w:w="5040"/>
            <w:shd w:fill="E8F4EC" w:color="auto" w:val="clear"/>
            <w:tcMar>
              <w:top w:type="dxa" w:w="60"/>
              <w:left w:type="dxa" w:w="100"/>
              <w:bottom w:type="dxa" w:w="60"/>
              <w:right w:type="dxa" w:w="100"/>
            </w:tcMar>
          </w:tcPr>
          <w:p>
            <w:pPr>
              <w:spacing w:after="0"/>
            </w:pPr>
            <w:r>
              <w:rPr>
                <w:b w:val="false"/>
                <w:bCs w:val="false"/>
                <w:color w:val="333333"/>
                <w:sz w:val="19"/>
                <w:szCs w:val="19"/>
              </w:rPr>
              <w:t xml:space="preserve">INCLUDED. JMA magnitude.</w:t>
            </w:r>
          </w:p>
        </w:tc>
      </w:tr>
      <w:tr>
        <w:tc>
          <w:tcPr>
            <w:tcW w:type="dxa" w:w="1210"/>
            <w:shd w:fill="E8F4EC" w:color="auto" w:val="clear"/>
            <w:tcMar>
              <w:top w:type="dxa" w:w="60"/>
              <w:left w:type="dxa" w:w="100"/>
              <w:bottom w:type="dxa" w:w="60"/>
              <w:right w:type="dxa" w:w="100"/>
            </w:tcMar>
          </w:tcPr>
          <w:p>
            <w:pPr>
              <w:spacing w:after="0"/>
            </w:pPr>
            <w:r>
              <w:rPr>
                <w:b w:val="false"/>
                <w:bCs w:val="false"/>
                <w:color w:val="333333"/>
                <w:sz w:val="19"/>
                <w:szCs w:val="19"/>
              </w:rPr>
              <w:t xml:space="preserve">d</w:t>
            </w:r>
          </w:p>
        </w:tc>
        <w:tc>
          <w:tcPr>
            <w:tcW w:type="dxa" w:w="3830"/>
            <w:shd w:fill="E8F4EC" w:color="auto" w:val="clear"/>
            <w:tcMar>
              <w:top w:type="dxa" w:w="60"/>
              <w:left w:type="dxa" w:w="100"/>
              <w:bottom w:type="dxa" w:w="60"/>
              <w:right w:type="dxa" w:w="100"/>
            </w:tcMar>
          </w:tcPr>
          <w:p>
            <w:pPr>
              <w:spacing w:after="0"/>
            </w:pPr>
            <w:r>
              <w:rPr>
                <w:b w:val="false"/>
                <w:bCs w:val="false"/>
                <w:color w:val="333333"/>
                <w:sz w:val="19"/>
                <w:szCs w:val="19"/>
              </w:rPr>
              <w:t xml:space="preserve">MD, two stations</w:t>
            </w:r>
          </w:p>
        </w:tc>
        <w:tc>
          <w:tcPr>
            <w:tcW w:type="dxa" w:w="5040"/>
            <w:shd w:fill="E8F4EC" w:color="auto" w:val="clear"/>
            <w:tcMar>
              <w:top w:type="dxa" w:w="60"/>
              <w:left w:type="dxa" w:w="100"/>
              <w:bottom w:type="dxa" w:w="60"/>
              <w:right w:type="dxa" w:w="100"/>
            </w:tcMar>
          </w:tcPr>
          <w:p>
            <w:pPr>
              <w:spacing w:after="0"/>
            </w:pPr>
            <w:r>
              <w:rPr>
                <w:b w:val="false"/>
                <w:bCs w:val="false"/>
                <w:color w:val="333333"/>
                <w:sz w:val="19"/>
                <w:szCs w:val="19"/>
              </w:rPr>
              <w:t xml:space="preserve">INCLUDED. JMA magnitude.</w:t>
            </w:r>
          </w:p>
        </w:tc>
      </w:tr>
      <w:tr>
        <w:tc>
          <w:tcPr>
            <w:tcW w:type="dxa" w:w="1210"/>
            <w:tcMar>
              <w:top w:type="dxa" w:w="60"/>
              <w:left w:type="dxa" w:w="100"/>
              <w:bottom w:type="dxa" w:w="60"/>
              <w:right w:type="dxa" w:w="100"/>
            </w:tcMar>
          </w:tcPr>
          <w:p>
            <w:pPr>
              <w:spacing w:after="0"/>
            </w:pPr>
            <w:r>
              <w:rPr>
                <w:b w:val="false"/>
                <w:bCs w:val="false"/>
                <w:color w:val="333333"/>
                <w:sz w:val="19"/>
                <w:szCs w:val="19"/>
              </w:rPr>
              <w:t xml:space="preserve">W</w:t>
            </w:r>
          </w:p>
        </w:tc>
        <w:tc>
          <w:tcPr>
            <w:tcW w:type="dxa" w:w="3830"/>
            <w:tcMar>
              <w:top w:type="dxa" w:w="60"/>
              <w:left w:type="dxa" w:w="100"/>
              <w:bottom w:type="dxa" w:w="60"/>
              <w:right w:type="dxa" w:w="100"/>
            </w:tcMar>
          </w:tcPr>
          <w:p>
            <w:pPr>
              <w:spacing w:after="0"/>
            </w:pPr>
            <w:r>
              <w:rPr>
                <w:b w:val="false"/>
                <w:bCs w:val="false"/>
                <w:color w:val="333333"/>
                <w:sz w:val="19"/>
                <w:szCs w:val="19"/>
              </w:rPr>
              <w:t xml:space="preserve">MW, moment magnitude</w:t>
            </w:r>
          </w:p>
        </w:tc>
        <w:tc>
          <w:tcPr>
            <w:tcW w:type="dxa" w:w="5040"/>
            <w:tcMar>
              <w:top w:type="dxa" w:w="60"/>
              <w:left w:type="dxa" w:w="100"/>
              <w:bottom w:type="dxa" w:w="60"/>
              <w:right w:type="dxa" w:w="100"/>
            </w:tcMar>
          </w:tcPr>
          <w:p>
            <w:pPr>
              <w:spacing w:after="0"/>
            </w:pPr>
            <w:r>
              <w:rPr>
                <w:b w:val="false"/>
                <w:bCs w:val="false"/>
                <w:color w:val="333333"/>
                <w:sz w:val="19"/>
                <w:szCs w:val="19"/>
              </w:rPr>
              <w:t xml:space="preserve">Excluded as a magnitude source. A different scale.</w:t>
            </w:r>
          </w:p>
        </w:tc>
      </w:tr>
      <w:tr>
        <w:tc>
          <w:tcPr>
            <w:tcW w:type="dxa" w:w="1210"/>
            <w:shd w:fill="F2F2F2" w:color="auto" w:val="clear"/>
            <w:tcMar>
              <w:top w:type="dxa" w:w="60"/>
              <w:left w:type="dxa" w:w="100"/>
              <w:bottom w:type="dxa" w:w="60"/>
              <w:right w:type="dxa" w:w="100"/>
            </w:tcMar>
          </w:tcPr>
          <w:p>
            <w:pPr>
              <w:spacing w:after="0"/>
            </w:pPr>
            <w:r>
              <w:rPr>
                <w:b w:val="false"/>
                <w:bCs w:val="false"/>
                <w:color w:val="333333"/>
                <w:sz w:val="19"/>
                <w:szCs w:val="19"/>
              </w:rPr>
              <w:t xml:space="preserve">B</w:t>
            </w:r>
          </w:p>
        </w:tc>
        <w:tc>
          <w:tcPr>
            <w:tcW w:type="dxa" w:w="3830"/>
            <w:shd w:fill="F2F2F2" w:color="auto" w:val="clear"/>
            <w:tcMar>
              <w:top w:type="dxa" w:w="60"/>
              <w:left w:type="dxa" w:w="100"/>
              <w:bottom w:type="dxa" w:w="60"/>
              <w:right w:type="dxa" w:w="100"/>
            </w:tcMar>
          </w:tcPr>
          <w:p>
            <w:pPr>
              <w:spacing w:after="0"/>
            </w:pPr>
            <w:r>
              <w:rPr>
                <w:b w:val="false"/>
                <w:bCs w:val="false"/>
                <w:color w:val="333333"/>
                <w:sz w:val="19"/>
                <w:szCs w:val="19"/>
              </w:rPr>
              <w:t xml:space="preserve">mb, USGS body wave</w:t>
            </w:r>
          </w:p>
        </w:tc>
        <w:tc>
          <w:tcPr>
            <w:tcW w:type="dxa" w:w="5040"/>
            <w:shd w:fill="F2F2F2" w:color="auto" w:val="clear"/>
            <w:tcMar>
              <w:top w:type="dxa" w:w="60"/>
              <w:left w:type="dxa" w:w="100"/>
              <w:bottom w:type="dxa" w:w="60"/>
              <w:right w:type="dxa" w:w="100"/>
            </w:tcMar>
          </w:tcPr>
          <w:p>
            <w:pPr>
              <w:spacing w:after="0"/>
            </w:pPr>
            <w:r>
              <w:rPr>
                <w:b w:val="false"/>
                <w:bCs w:val="false"/>
                <w:color w:val="333333"/>
                <w:sz w:val="19"/>
                <w:szCs w:val="19"/>
              </w:rPr>
              <w:t xml:space="preserve">Excluded. A different scale, and attached to events JMA did not locate.</w:t>
            </w:r>
          </w:p>
        </w:tc>
      </w:tr>
      <w:tr>
        <w:tc>
          <w:tcPr>
            <w:tcW w:type="dxa" w:w="1210"/>
            <w:tcMar>
              <w:top w:type="dxa" w:w="60"/>
              <w:left w:type="dxa" w:w="100"/>
              <w:bottom w:type="dxa" w:w="60"/>
              <w:right w:type="dxa" w:w="100"/>
            </w:tcMar>
          </w:tcPr>
          <w:p>
            <w:pPr>
              <w:spacing w:after="0"/>
            </w:pPr>
            <w:r>
              <w:rPr>
                <w:b w:val="false"/>
                <w:bCs w:val="false"/>
                <w:color w:val="333333"/>
                <w:sz w:val="19"/>
                <w:szCs w:val="19"/>
              </w:rPr>
              <w:t xml:space="preserve">S</w:t>
            </w:r>
          </w:p>
        </w:tc>
        <w:tc>
          <w:tcPr>
            <w:tcW w:type="dxa" w:w="3830"/>
            <w:tcMar>
              <w:top w:type="dxa" w:w="60"/>
              <w:left w:type="dxa" w:w="100"/>
              <w:bottom w:type="dxa" w:w="60"/>
              <w:right w:type="dxa" w:w="100"/>
            </w:tcMar>
          </w:tcPr>
          <w:p>
            <w:pPr>
              <w:spacing w:after="0"/>
            </w:pPr>
            <w:r>
              <w:rPr>
                <w:b w:val="false"/>
                <w:bCs w:val="false"/>
                <w:color w:val="333333"/>
                <w:sz w:val="19"/>
                <w:szCs w:val="19"/>
              </w:rPr>
              <w:t xml:space="preserve">MS, USGS surface wave</w:t>
            </w:r>
          </w:p>
        </w:tc>
        <w:tc>
          <w:tcPr>
            <w:tcW w:type="dxa" w:w="5040"/>
            <w:tcMar>
              <w:top w:type="dxa" w:w="60"/>
              <w:left w:type="dxa" w:w="100"/>
              <w:bottom w:type="dxa" w:w="60"/>
              <w:right w:type="dxa" w:w="100"/>
            </w:tcMar>
          </w:tcPr>
          <w:p>
            <w:pPr>
              <w:spacing w:after="0"/>
            </w:pPr>
            <w:r>
              <w:rPr>
                <w:b w:val="false"/>
                <w:bCs w:val="false"/>
                <w:color w:val="333333"/>
                <w:sz w:val="19"/>
                <w:szCs w:val="19"/>
              </w:rPr>
              <w:t xml:space="preserve">Excluded. A different scale.</w:t>
            </w:r>
          </w:p>
        </w:tc>
      </w:tr>
      <w:tr>
        <w:tc>
          <w:tcPr>
            <w:tcW w:type="dxa" w:w="1210"/>
            <w:shd w:fill="F2F2F2" w:color="auto" w:val="clear"/>
            <w:tcMar>
              <w:top w:type="dxa" w:w="60"/>
              <w:left w:type="dxa" w:w="100"/>
              <w:bottom w:type="dxa" w:w="60"/>
              <w:right w:type="dxa" w:w="100"/>
            </w:tcMar>
          </w:tcPr>
          <w:p>
            <w:pPr>
              <w:spacing w:after="0"/>
            </w:pPr>
            <w:r>
              <w:rPr>
                <w:b w:val="false"/>
                <w:bCs w:val="false"/>
                <w:color w:val="333333"/>
                <w:sz w:val="19"/>
                <w:szCs w:val="19"/>
              </w:rPr>
              <w:t xml:space="preserve">(blank)</w:t>
            </w:r>
          </w:p>
        </w:tc>
        <w:tc>
          <w:tcPr>
            <w:tcW w:type="dxa" w:w="3830"/>
            <w:shd w:fill="F2F2F2" w:color="auto" w:val="clear"/>
            <w:tcMar>
              <w:top w:type="dxa" w:w="60"/>
              <w:left w:type="dxa" w:w="100"/>
              <w:bottom w:type="dxa" w:w="60"/>
              <w:right w:type="dxa" w:w="100"/>
            </w:tcMar>
          </w:tcPr>
          <w:p>
            <w:pPr>
              <w:spacing w:after="0"/>
            </w:pPr>
            <w:r>
              <w:rPr>
                <w:b w:val="false"/>
                <w:bCs w:val="false"/>
                <w:color w:val="333333"/>
                <w:sz w:val="19"/>
                <w:szCs w:val="19"/>
              </w:rPr>
              <w:t xml:space="preserve">Undetermined</w:t>
            </w:r>
          </w:p>
        </w:tc>
        <w:tc>
          <w:tcPr>
            <w:tcW w:type="dxa" w:w="5040"/>
            <w:shd w:fill="F2F2F2" w:color="auto" w:val="clear"/>
            <w:tcMar>
              <w:top w:type="dxa" w:w="60"/>
              <w:left w:type="dxa" w:w="100"/>
              <w:bottom w:type="dxa" w:w="60"/>
              <w:right w:type="dxa" w:w="100"/>
            </w:tcMar>
          </w:tcPr>
          <w:p>
            <w:pPr>
              <w:spacing w:after="0"/>
            </w:pPr>
            <w:r>
              <w:rPr>
                <w:b w:val="false"/>
                <w:bCs w:val="false"/>
                <w:color w:val="333333"/>
                <w:sz w:val="19"/>
                <w:szCs w:val="19"/>
              </w:rPr>
              <w:t xml:space="preserve">Excluded.</w:t>
            </w:r>
          </w:p>
        </w:tc>
      </w:tr>
    </w:tbl>
    <w:p>
      <w:pPr>
        <w:spacing w:after="100" w:before="220"/>
      </w:pPr>
      <w:r>
        <w:rPr>
          <w:b/>
          <w:bCs/>
          <w:color w:val="0E7C86"/>
          <w:sz w:val="23"/>
          <w:szCs w:val="23"/>
        </w:rPr>
        <w:t xml:space="preserve">Selection rule where both magnitude slots are populated</w:t>
      </w:r>
    </w:p>
    <w:p>
      <w:pPr>
        <w:spacing w:after="120" w:before="0"/>
      </w:pPr>
      <w:r>
        <w:rPr>
          <w:color w:val="333333"/>
          <w:sz w:val="21"/>
          <w:szCs w:val="21"/>
        </w:rPr>
        <w:t xml:space="preserve">Take the first magnitude if its type code is one of V, v, D or d. Otherwise take the second magnitude if its type code is one of those four. Otherwise exclude the event.</w:t>
      </w:r>
    </w:p>
    <w:p>
      <w:pPr>
        <w:spacing w:after="120" w:before="0"/>
      </w:pPr>
      <w:r>
        <w:rPr>
          <w:color w:val="333333"/>
          <w:sz w:val="21"/>
          <w:szCs w:val="21"/>
        </w:rPr>
        <w:t xml:space="preserve">The number of events excluded for carrying no JMA magnitude will be reported alongside the target count, so the rule’s effect is visible rather than assumed. In the 2023 catalog year, 87 events carried only a USGS body-wave magnitude and 9,973 carried a blank type, the latter overwhelmingly below threshold.</w:t>
      </w:r>
    </w:p>
    <w:p>
      <w:pPr>
        <w:pBdr>
          <w:bottom w:val="single" w:color="6B2FA8" w:sz="8" w:space="4"/>
        </w:pBdr>
        <w:spacing w:after="160" w:before="320"/>
      </w:pPr>
      <w:r>
        <w:rPr>
          <w:b/>
          <w:bCs/>
          <w:color w:val="6B2FA8"/>
          <w:sz w:val="28"/>
          <w:szCs w:val="28"/>
        </w:rPr>
        <w:t xml:space="preserve">4. D12. Evaluation window</w:t>
      </w:r>
    </w:p>
    <w:p>
      <w:pPr>
        <w:shd w:fill="E8F4EC" w:color="auto" w:val="clear"/>
        <w:spacing w:after="140"/>
      </w:pPr>
      <w:r>
        <w:rPr>
          <w:b/>
          <w:bCs/>
          <w:color w:val="0E7C86"/>
          <w:sz w:val="21"/>
          <w:szCs w:val="21"/>
        </w:rPr>
        <w:t xml:space="preserve">DECIDED: 2016-01-01 to 2023-12-31 inclusive, eight calendar years, times in UTC.</w:t>
      </w:r>
    </w:p>
    <w:p>
      <w:pPr>
        <w:spacing w:after="100" w:before="220"/>
      </w:pPr>
      <w:r>
        <w:rPr>
          <w:b/>
          <w:bCs/>
          <w:color w:val="0E7C86"/>
          <w:sz w:val="23"/>
          <w:szCs w:val="23"/>
        </w:rPr>
        <w:t xml:space="preserve">Basis</w:t>
      </w:r>
    </w:p>
    <w:p>
      <w:pPr>
        <w:spacing w:after="120" w:before="0"/>
      </w:pPr>
      <w:r>
        <w:rPr>
          <w:color w:val="333333"/>
          <w:sz w:val="21"/>
          <w:szCs w:val="21"/>
        </w:rPr>
        <w:t xml:space="preserve">The window is the intersection of the two data sources, and each end is set by a source rather than by us.</w:t>
      </w:r>
    </w:p>
    <w:tbl>
      <w:tblPr>
        <w:tblW w:type="dxa" w:w="10080"/>
        <w:tblBorders>
          <w:top w:val="single" w:color="C9C9C9" w:sz="4"/>
          <w:left w:val="single" w:color="C9C9C9" w:sz="4"/>
          <w:bottom w:val="single" w:color="C9C9C9" w:sz="4"/>
          <w:right w:val="single" w:color="C9C9C9" w:sz="4"/>
          <w:insideH w:val="single" w:color="DADADA" w:sz="2"/>
          <w:insideV w:val="single" w:color="DADADA" w:sz="2"/>
        </w:tblBorders>
      </w:tblPr>
      <w:tblGrid>
        <w:gridCol w:w="3427"/>
        <w:gridCol w:w="2016"/>
        <w:gridCol w:w="4637"/>
      </w:tblGrid>
      <w:tr>
        <w:trPr>
          <w:tblHeader/>
        </w:trPr>
        <w:tc>
          <w:tcPr>
            <w:tcW w:type="dxa" w:w="3427"/>
            <w:shd w:fill="EDE4F5" w:color="auto" w:val="clear"/>
            <w:tcMar>
              <w:top w:type="dxa" w:w="60"/>
              <w:left w:type="dxa" w:w="100"/>
              <w:bottom w:type="dxa" w:w="60"/>
              <w:right w:type="dxa" w:w="100"/>
            </w:tcMar>
          </w:tcPr>
          <w:p>
            <w:pPr>
              <w:spacing w:after="0"/>
            </w:pPr>
            <w:r>
              <w:rPr>
                <w:b/>
                <w:bCs/>
                <w:color w:val="6B2FA8"/>
                <w:sz w:val="19"/>
                <w:szCs w:val="19"/>
              </w:rPr>
              <w:t xml:space="preserve">Constraint</w:t>
            </w:r>
          </w:p>
        </w:tc>
        <w:tc>
          <w:tcPr>
            <w:tcW w:type="dxa" w:w="2016"/>
            <w:shd w:fill="EDE4F5" w:color="auto" w:val="clear"/>
            <w:tcMar>
              <w:top w:type="dxa" w:w="60"/>
              <w:left w:type="dxa" w:w="100"/>
              <w:bottom w:type="dxa" w:w="60"/>
              <w:right w:type="dxa" w:w="100"/>
            </w:tcMar>
          </w:tcPr>
          <w:p>
            <w:pPr>
              <w:spacing w:after="0"/>
            </w:pPr>
            <w:r>
              <w:rPr>
                <w:b/>
                <w:bCs/>
                <w:color w:val="6B2FA8"/>
                <w:sz w:val="19"/>
                <w:szCs w:val="19"/>
              </w:rPr>
              <w:t xml:space="preserve">Coverage</w:t>
            </w:r>
          </w:p>
        </w:tc>
        <w:tc>
          <w:tcPr>
            <w:tcW w:type="dxa" w:w="4637"/>
            <w:shd w:fill="EDE4F5" w:color="auto" w:val="clear"/>
            <w:tcMar>
              <w:top w:type="dxa" w:w="60"/>
              <w:left w:type="dxa" w:w="100"/>
              <w:bottom w:type="dxa" w:w="60"/>
              <w:right w:type="dxa" w:w="100"/>
            </w:tcMar>
          </w:tcPr>
          <w:p>
            <w:pPr>
              <w:spacing w:after="0"/>
            </w:pPr>
            <w:r>
              <w:rPr>
                <w:b/>
                <w:bCs/>
                <w:color w:val="6B2FA8"/>
                <w:sz w:val="19"/>
                <w:szCs w:val="19"/>
              </w:rPr>
              <w:t xml:space="preserve">Effect</w:t>
            </w:r>
          </w:p>
        </w:tc>
      </w:tr>
      <w:tr>
        <w:tc>
          <w:tcPr>
            <w:tcW w:type="dxa" w:w="3427"/>
            <w:tcMar>
              <w:top w:type="dxa" w:w="60"/>
              <w:left w:type="dxa" w:w="100"/>
              <w:bottom w:type="dxa" w:w="60"/>
              <w:right w:type="dxa" w:w="100"/>
            </w:tcMar>
          </w:tcPr>
          <w:p>
            <w:pPr>
              <w:spacing w:after="0"/>
            </w:pPr>
            <w:r>
              <w:rPr>
                <w:b w:val="false"/>
                <w:bCs w:val="false"/>
                <w:color w:val="333333"/>
                <w:sz w:val="19"/>
                <w:szCs w:val="19"/>
              </w:rPr>
              <w:t xml:space="preserve">GEONET GRJE_3.02 observation archive</w:t>
            </w:r>
          </w:p>
        </w:tc>
        <w:tc>
          <w:tcPr>
            <w:tcW w:type="dxa" w:w="2016"/>
            <w:tcMar>
              <w:top w:type="dxa" w:w="60"/>
              <w:left w:type="dxa" w:w="100"/>
              <w:bottom w:type="dxa" w:w="60"/>
              <w:right w:type="dxa" w:w="100"/>
            </w:tcMar>
          </w:tcPr>
          <w:p>
            <w:pPr>
              <w:spacing w:after="0"/>
            </w:pPr>
            <w:r>
              <w:rPr>
                <w:b w:val="false"/>
                <w:bCs w:val="false"/>
                <w:color w:val="333333"/>
                <w:sz w:val="19"/>
                <w:szCs w:val="19"/>
              </w:rPr>
              <w:t xml:space="preserve">2016 to 2024</w:t>
            </w:r>
          </w:p>
        </w:tc>
        <w:tc>
          <w:tcPr>
            <w:tcW w:type="dxa" w:w="4637"/>
            <w:tcMar>
              <w:top w:type="dxa" w:w="60"/>
              <w:left w:type="dxa" w:w="100"/>
              <w:bottom w:type="dxa" w:w="60"/>
              <w:right w:type="dxa" w:w="100"/>
            </w:tcMar>
          </w:tcPr>
          <w:p>
            <w:pPr>
              <w:spacing w:after="0"/>
            </w:pPr>
            <w:r>
              <w:rPr>
                <w:b w:val="false"/>
                <w:bCs w:val="false"/>
                <w:color w:val="333333"/>
                <w:sz w:val="19"/>
                <w:szCs w:val="19"/>
              </w:rPr>
              <w:t xml:space="preserve">Sets the start. Earlier GEONET trees do not carry the full network in full-day files.</w:t>
            </w:r>
          </w:p>
        </w:tc>
      </w:tr>
      <w:tr>
        <w:tc>
          <w:tcPr>
            <w:tcW w:type="dxa" w:w="3427"/>
            <w:shd w:fill="F2F2F2" w:color="auto" w:val="clear"/>
            <w:tcMar>
              <w:top w:type="dxa" w:w="60"/>
              <w:left w:type="dxa" w:w="100"/>
              <w:bottom w:type="dxa" w:w="60"/>
              <w:right w:type="dxa" w:w="100"/>
            </w:tcMar>
          </w:tcPr>
          <w:p>
            <w:pPr>
              <w:spacing w:after="0"/>
            </w:pPr>
            <w:r>
              <w:rPr>
                <w:b w:val="false"/>
                <w:bCs w:val="false"/>
                <w:color w:val="333333"/>
                <w:sz w:val="19"/>
                <w:szCs w:val="19"/>
              </w:rPr>
              <w:t xml:space="preserve">JMA Seismological Bulletin hypocenter files</w:t>
            </w:r>
          </w:p>
        </w:tc>
        <w:tc>
          <w:tcPr>
            <w:tcW w:type="dxa" w:w="2016"/>
            <w:shd w:fill="F2F2F2" w:color="auto" w:val="clear"/>
            <w:tcMar>
              <w:top w:type="dxa" w:w="60"/>
              <w:left w:type="dxa" w:w="100"/>
              <w:bottom w:type="dxa" w:w="60"/>
              <w:right w:type="dxa" w:w="100"/>
            </w:tcMar>
          </w:tcPr>
          <w:p>
            <w:pPr>
              <w:spacing w:after="0"/>
            </w:pPr>
            <w:r>
              <w:rPr>
                <w:b w:val="false"/>
                <w:bCs w:val="false"/>
                <w:color w:val="333333"/>
                <w:sz w:val="19"/>
                <w:szCs w:val="19"/>
              </w:rPr>
              <w:t xml:space="preserve">1919 to 2023</w:t>
            </w:r>
          </w:p>
        </w:tc>
        <w:tc>
          <w:tcPr>
            <w:tcW w:type="dxa" w:w="4637"/>
            <w:shd w:fill="F2F2F2" w:color="auto" w:val="clear"/>
            <w:tcMar>
              <w:top w:type="dxa" w:w="60"/>
              <w:left w:type="dxa" w:w="100"/>
              <w:bottom w:type="dxa" w:w="60"/>
              <w:right w:type="dxa" w:w="100"/>
            </w:tcMar>
          </w:tcPr>
          <w:p>
            <w:pPr>
              <w:spacing w:after="0"/>
            </w:pPr>
            <w:r>
              <w:rPr>
                <w:b w:val="false"/>
                <w:bCs w:val="false"/>
                <w:color w:val="333333"/>
                <w:sz w:val="19"/>
                <w:szCs w:val="19"/>
              </w:rPr>
              <w:t xml:space="preserve">Sets the end. The Bulletin is finalized roughly two years in arrears; the 2023 archive was built 2025-12-10.</w:t>
            </w:r>
          </w:p>
        </w:tc>
      </w:tr>
    </w:tbl>
    <w:p>
      <w:pPr>
        <w:spacing w:after="120" w:before="0"/>
      </w:pPr>
      <w:r>
        <w:rPr>
          <w:color w:val="333333"/>
          <w:sz w:val="21"/>
          <w:szCs w:val="21"/>
        </w:rPr>
        <w:t xml:space="preserve">Note that the six-month catalog latency recorded elsewhere in the Sentinel documentation applies to the JMA unified catalog distributed through NIED Hi-net, not to the finalized Bulletin used here. The two should not be conflated when planning any extension of the window.</w:t>
      </w:r>
    </w:p>
    <w:p>
      <w:pPr>
        <w:pBdr>
          <w:bottom w:val="single" w:color="6B2FA8" w:sz="8" w:space="4"/>
        </w:pBdr>
        <w:spacing w:after="160" w:before="320"/>
      </w:pPr>
      <w:r>
        <w:rPr>
          <w:b/>
          <w:bCs/>
          <w:color w:val="6B2FA8"/>
          <w:sz w:val="28"/>
          <w:szCs w:val="28"/>
        </w:rPr>
        <w:t xml:space="preserve">5. Catalog filtering rules</w:t>
      </w:r>
    </w:p>
    <w:p>
      <w:pPr>
        <w:spacing w:after="120" w:before="0"/>
      </w:pPr>
      <w:r>
        <w:rPr>
          <w:color w:val="333333"/>
          <w:sz w:val="21"/>
          <w:szCs w:val="21"/>
        </w:rPr>
        <w:t xml:space="preserve">Pre-registered. Each filter is applied in the order listed, and the number of events removed by each will be reported, so the path from the raw catalog to the target set is auditable end to end.</w:t>
      </w:r>
    </w:p>
    <w:tbl>
      <w:tblPr>
        <w:tblW w:type="dxa" w:w="10080"/>
        <w:tblBorders>
          <w:top w:val="single" w:color="C9C9C9" w:sz="4"/>
          <w:left w:val="single" w:color="C9C9C9" w:sz="4"/>
          <w:bottom w:val="single" w:color="C9C9C9" w:sz="4"/>
          <w:right w:val="single" w:color="C9C9C9" w:sz="4"/>
          <w:insideH w:val="single" w:color="DADADA" w:sz="2"/>
          <w:insideV w:val="single" w:color="DADADA" w:sz="2"/>
        </w:tblBorders>
      </w:tblPr>
      <w:tblGrid>
        <w:gridCol w:w="605"/>
        <w:gridCol w:w="2016"/>
        <w:gridCol w:w="7459"/>
      </w:tblGrid>
      <w:tr>
        <w:trPr>
          <w:tblHeader/>
        </w:trPr>
        <w:tc>
          <w:tcPr>
            <w:tcW w:type="dxa" w:w="605"/>
            <w:shd w:fill="EDE4F5" w:color="auto" w:val="clear"/>
            <w:tcMar>
              <w:top w:type="dxa" w:w="60"/>
              <w:left w:type="dxa" w:w="100"/>
              <w:bottom w:type="dxa" w:w="60"/>
              <w:right w:type="dxa" w:w="100"/>
            </w:tcMar>
          </w:tcPr>
          <w:p>
            <w:pPr>
              <w:spacing w:after="0"/>
            </w:pPr>
            <w:r>
              <w:rPr>
                <w:b/>
                <w:bCs/>
                <w:color w:val="6B2FA8"/>
                <w:sz w:val="19"/>
                <w:szCs w:val="19"/>
              </w:rPr>
              <w:t xml:space="preserve">#</w:t>
            </w:r>
          </w:p>
        </w:tc>
        <w:tc>
          <w:tcPr>
            <w:tcW w:type="dxa" w:w="2016"/>
            <w:shd w:fill="EDE4F5" w:color="auto" w:val="clear"/>
            <w:tcMar>
              <w:top w:type="dxa" w:w="60"/>
              <w:left w:type="dxa" w:w="100"/>
              <w:bottom w:type="dxa" w:w="60"/>
              <w:right w:type="dxa" w:w="100"/>
            </w:tcMar>
          </w:tcPr>
          <w:p>
            <w:pPr>
              <w:spacing w:after="0"/>
            </w:pPr>
            <w:r>
              <w:rPr>
                <w:b/>
                <w:bCs/>
                <w:color w:val="6B2FA8"/>
                <w:sz w:val="19"/>
                <w:szCs w:val="19"/>
              </w:rPr>
              <w:t xml:space="preserve">Filter</w:t>
            </w:r>
          </w:p>
        </w:tc>
        <w:tc>
          <w:tcPr>
            <w:tcW w:type="dxa" w:w="7459"/>
            <w:shd w:fill="EDE4F5" w:color="auto" w:val="clear"/>
            <w:tcMar>
              <w:top w:type="dxa" w:w="60"/>
              <w:left w:type="dxa" w:w="100"/>
              <w:bottom w:type="dxa" w:w="60"/>
              <w:right w:type="dxa" w:w="100"/>
            </w:tcMar>
          </w:tcPr>
          <w:p>
            <w:pPr>
              <w:spacing w:after="0"/>
            </w:pPr>
            <w:r>
              <w:rPr>
                <w:b/>
                <w:bCs/>
                <w:color w:val="6B2FA8"/>
                <w:sz w:val="19"/>
                <w:szCs w:val="19"/>
              </w:rPr>
              <w:t xml:space="preserve">Rule</w:t>
            </w:r>
          </w:p>
        </w:tc>
      </w:tr>
      <w:tr>
        <w:tc>
          <w:tcPr>
            <w:tcW w:type="dxa" w:w="605"/>
            <w:tcMar>
              <w:top w:type="dxa" w:w="60"/>
              <w:left w:type="dxa" w:w="100"/>
              <w:bottom w:type="dxa" w:w="60"/>
              <w:right w:type="dxa" w:w="100"/>
            </w:tcMar>
          </w:tcPr>
          <w:p>
            <w:pPr>
              <w:spacing w:after="0"/>
            </w:pPr>
            <w:r>
              <w:rPr>
                <w:b w:val="false"/>
                <w:bCs w:val="false"/>
                <w:color w:val="333333"/>
                <w:sz w:val="19"/>
                <w:szCs w:val="19"/>
              </w:rPr>
              <w:t xml:space="preserve">1</w:t>
            </w:r>
          </w:p>
        </w:tc>
        <w:tc>
          <w:tcPr>
            <w:tcW w:type="dxa" w:w="2016"/>
            <w:tcMar>
              <w:top w:type="dxa" w:w="60"/>
              <w:left w:type="dxa" w:w="100"/>
              <w:bottom w:type="dxa" w:w="60"/>
              <w:right w:type="dxa" w:w="100"/>
            </w:tcMar>
          </w:tcPr>
          <w:p>
            <w:pPr>
              <w:spacing w:after="0"/>
            </w:pPr>
            <w:r>
              <w:rPr>
                <w:b w:val="false"/>
                <w:bCs w:val="false"/>
                <w:color w:val="333333"/>
                <w:sz w:val="19"/>
                <w:szCs w:val="19"/>
              </w:rPr>
              <w:t xml:space="preserve">Time zone</w:t>
            </w:r>
          </w:p>
        </w:tc>
        <w:tc>
          <w:tcPr>
            <w:tcW w:type="dxa" w:w="7459"/>
            <w:tcMar>
              <w:top w:type="dxa" w:w="60"/>
              <w:left w:type="dxa" w:w="100"/>
              <w:bottom w:type="dxa" w:w="60"/>
              <w:right w:type="dxa" w:w="100"/>
            </w:tcMar>
          </w:tcPr>
          <w:p>
            <w:pPr>
              <w:spacing w:after="0"/>
            </w:pPr>
            <w:r>
              <w:rPr>
                <w:b w:val="false"/>
                <w:bCs w:val="false"/>
                <w:color w:val="333333"/>
                <w:sz w:val="19"/>
                <w:szCs w:val="19"/>
              </w:rPr>
              <w:t xml:space="preserve">JMA hypocenter times are Japan Standard Time, UTC+9. All origin times converted to UTC before any other step.</w:t>
            </w:r>
          </w:p>
        </w:tc>
      </w:tr>
      <w:tr>
        <w:tc>
          <w:tcPr>
            <w:tcW w:type="dxa" w:w="605"/>
            <w:shd w:fill="F2F2F2" w:color="auto" w:val="clear"/>
            <w:tcMar>
              <w:top w:type="dxa" w:w="60"/>
              <w:left w:type="dxa" w:w="100"/>
              <w:bottom w:type="dxa" w:w="60"/>
              <w:right w:type="dxa" w:w="100"/>
            </w:tcMar>
          </w:tcPr>
          <w:p>
            <w:pPr>
              <w:spacing w:after="0"/>
            </w:pPr>
            <w:r>
              <w:rPr>
                <w:b w:val="false"/>
                <w:bCs w:val="false"/>
                <w:color w:val="333333"/>
                <w:sz w:val="19"/>
                <w:szCs w:val="19"/>
              </w:rPr>
              <w:t xml:space="preserve">2</w:t>
            </w:r>
          </w:p>
        </w:tc>
        <w:tc>
          <w:tcPr>
            <w:tcW w:type="dxa" w:w="2016"/>
            <w:shd w:fill="F2F2F2" w:color="auto" w:val="clear"/>
            <w:tcMar>
              <w:top w:type="dxa" w:w="60"/>
              <w:left w:type="dxa" w:w="100"/>
              <w:bottom w:type="dxa" w:w="60"/>
              <w:right w:type="dxa" w:w="100"/>
            </w:tcMar>
          </w:tcPr>
          <w:p>
            <w:pPr>
              <w:spacing w:after="0"/>
            </w:pPr>
            <w:r>
              <w:rPr>
                <w:b w:val="false"/>
                <w:bCs w:val="false"/>
                <w:color w:val="333333"/>
                <w:sz w:val="19"/>
                <w:szCs w:val="19"/>
              </w:rPr>
              <w:t xml:space="preserve">Coordinates</w:t>
            </w:r>
          </w:p>
        </w:tc>
        <w:tc>
          <w:tcPr>
            <w:tcW w:type="dxa" w:w="7459"/>
            <w:shd w:fill="F2F2F2" w:color="auto" w:val="clear"/>
            <w:tcMar>
              <w:top w:type="dxa" w:w="60"/>
              <w:left w:type="dxa" w:w="100"/>
              <w:bottom w:type="dxa" w:w="60"/>
              <w:right w:type="dxa" w:w="100"/>
            </w:tcMar>
          </w:tcPr>
          <w:p>
            <w:pPr>
              <w:spacing w:after="0"/>
            </w:pPr>
            <w:r>
              <w:rPr>
                <w:b w:val="false"/>
                <w:bCs w:val="false"/>
                <w:color w:val="333333"/>
                <w:sz w:val="19"/>
                <w:szCs w:val="19"/>
              </w:rPr>
              <w:t xml:space="preserve">Latitude and longitude are recorded as integer degrees plus decimal minutes, not decimal degrees. Converted before any spatial test.</w:t>
            </w:r>
          </w:p>
        </w:tc>
      </w:tr>
      <w:tr>
        <w:tc>
          <w:tcPr>
            <w:tcW w:type="dxa" w:w="605"/>
            <w:tcMar>
              <w:top w:type="dxa" w:w="60"/>
              <w:left w:type="dxa" w:w="100"/>
              <w:bottom w:type="dxa" w:w="60"/>
              <w:right w:type="dxa" w:w="100"/>
            </w:tcMar>
          </w:tcPr>
          <w:p>
            <w:pPr>
              <w:spacing w:after="0"/>
            </w:pPr>
            <w:r>
              <w:rPr>
                <w:b w:val="false"/>
                <w:bCs w:val="false"/>
                <w:color w:val="333333"/>
                <w:sz w:val="19"/>
                <w:szCs w:val="19"/>
              </w:rPr>
              <w:t xml:space="preserve">3</w:t>
            </w:r>
          </w:p>
        </w:tc>
        <w:tc>
          <w:tcPr>
            <w:tcW w:type="dxa" w:w="2016"/>
            <w:tcMar>
              <w:top w:type="dxa" w:w="60"/>
              <w:left w:type="dxa" w:w="100"/>
              <w:bottom w:type="dxa" w:w="60"/>
              <w:right w:type="dxa" w:w="100"/>
            </w:tcMar>
          </w:tcPr>
          <w:p>
            <w:pPr>
              <w:spacing w:after="0"/>
            </w:pPr>
            <w:r>
              <w:rPr>
                <w:b w:val="false"/>
                <w:bCs w:val="false"/>
                <w:color w:val="333333"/>
                <w:sz w:val="19"/>
                <w:szCs w:val="19"/>
              </w:rPr>
              <w:t xml:space="preserve">Window</w:t>
            </w:r>
          </w:p>
        </w:tc>
        <w:tc>
          <w:tcPr>
            <w:tcW w:type="dxa" w:w="7459"/>
            <w:tcMar>
              <w:top w:type="dxa" w:w="60"/>
              <w:left w:type="dxa" w:w="100"/>
              <w:bottom w:type="dxa" w:w="60"/>
              <w:right w:type="dxa" w:w="100"/>
            </w:tcMar>
          </w:tcPr>
          <w:p>
            <w:pPr>
              <w:spacing w:after="0"/>
            </w:pPr>
            <w:r>
              <w:rPr>
                <w:b w:val="false"/>
                <w:bCs w:val="false"/>
                <w:color w:val="333333"/>
                <w:sz w:val="19"/>
                <w:szCs w:val="19"/>
              </w:rPr>
              <w:t xml:space="preserve">Origin time within 2016-01-01T00:00:00Z to 2023-12-31T23:59:59Z.</w:t>
            </w:r>
          </w:p>
        </w:tc>
      </w:tr>
      <w:tr>
        <w:tc>
          <w:tcPr>
            <w:tcW w:type="dxa" w:w="605"/>
            <w:shd w:fill="F2F2F2" w:color="auto" w:val="clear"/>
            <w:tcMar>
              <w:top w:type="dxa" w:w="60"/>
              <w:left w:type="dxa" w:w="100"/>
              <w:bottom w:type="dxa" w:w="60"/>
              <w:right w:type="dxa" w:w="100"/>
            </w:tcMar>
          </w:tcPr>
          <w:p>
            <w:pPr>
              <w:spacing w:after="0"/>
            </w:pPr>
            <w:r>
              <w:rPr>
                <w:b w:val="false"/>
                <w:bCs w:val="false"/>
                <w:color w:val="333333"/>
                <w:sz w:val="19"/>
                <w:szCs w:val="19"/>
              </w:rPr>
              <w:t xml:space="preserve">4</w:t>
            </w:r>
          </w:p>
        </w:tc>
        <w:tc>
          <w:tcPr>
            <w:tcW w:type="dxa" w:w="2016"/>
            <w:shd w:fill="F2F2F2" w:color="auto" w:val="clear"/>
            <w:tcMar>
              <w:top w:type="dxa" w:w="60"/>
              <w:left w:type="dxa" w:w="100"/>
              <w:bottom w:type="dxa" w:w="60"/>
              <w:right w:type="dxa" w:w="100"/>
            </w:tcMar>
          </w:tcPr>
          <w:p>
            <w:pPr>
              <w:spacing w:after="0"/>
            </w:pPr>
            <w:r>
              <w:rPr>
                <w:b w:val="false"/>
                <w:bCs w:val="false"/>
                <w:color w:val="333333"/>
                <w:sz w:val="19"/>
                <w:szCs w:val="19"/>
              </w:rPr>
              <w:t xml:space="preserve">Region</w:t>
            </w:r>
          </w:p>
        </w:tc>
        <w:tc>
          <w:tcPr>
            <w:tcW w:type="dxa" w:w="7459"/>
            <w:shd w:fill="F2F2F2" w:color="auto" w:val="clear"/>
            <w:tcMar>
              <w:top w:type="dxa" w:w="60"/>
              <w:left w:type="dxa" w:w="100"/>
              <w:bottom w:type="dxa" w:w="60"/>
              <w:right w:type="dxa" w:w="100"/>
            </w:tcMar>
          </w:tcPr>
          <w:p>
            <w:pPr>
              <w:spacing w:after="0"/>
            </w:pPr>
            <w:r>
              <w:rPr>
                <w:b w:val="false"/>
                <w:bCs w:val="false"/>
                <w:color w:val="333333"/>
                <w:sz w:val="19"/>
                <w:szCs w:val="19"/>
              </w:rPr>
              <w:t xml:space="preserve">Epicentre falls inside a cell of the adopted CSEP-Japan All Japan region, 20,062 cells at 0.1 degree, using cell origins obtained as midpoint minus 0.05 degrees.</w:t>
            </w:r>
          </w:p>
        </w:tc>
      </w:tr>
      <w:tr>
        <w:tc>
          <w:tcPr>
            <w:tcW w:type="dxa" w:w="605"/>
            <w:tcMar>
              <w:top w:type="dxa" w:w="60"/>
              <w:left w:type="dxa" w:w="100"/>
              <w:bottom w:type="dxa" w:w="60"/>
              <w:right w:type="dxa" w:w="100"/>
            </w:tcMar>
          </w:tcPr>
          <w:p>
            <w:pPr>
              <w:spacing w:after="0"/>
            </w:pPr>
            <w:r>
              <w:rPr>
                <w:b w:val="false"/>
                <w:bCs w:val="false"/>
                <w:color w:val="333333"/>
                <w:sz w:val="19"/>
                <w:szCs w:val="19"/>
              </w:rPr>
              <w:t xml:space="preserve">5</w:t>
            </w:r>
          </w:p>
        </w:tc>
        <w:tc>
          <w:tcPr>
            <w:tcW w:type="dxa" w:w="2016"/>
            <w:tcMar>
              <w:top w:type="dxa" w:w="60"/>
              <w:left w:type="dxa" w:w="100"/>
              <w:bottom w:type="dxa" w:w="60"/>
              <w:right w:type="dxa" w:w="100"/>
            </w:tcMar>
          </w:tcPr>
          <w:p>
            <w:pPr>
              <w:spacing w:after="0"/>
            </w:pPr>
            <w:r>
              <w:rPr>
                <w:b w:val="false"/>
                <w:bCs w:val="false"/>
                <w:color w:val="333333"/>
                <w:sz w:val="19"/>
                <w:szCs w:val="19"/>
              </w:rPr>
              <w:t xml:space="preserve">Depth</w:t>
            </w:r>
          </w:p>
        </w:tc>
        <w:tc>
          <w:tcPr>
            <w:tcW w:type="dxa" w:w="7459"/>
            <w:tcMar>
              <w:top w:type="dxa" w:w="60"/>
              <w:left w:type="dxa" w:w="100"/>
              <w:bottom w:type="dxa" w:w="60"/>
              <w:right w:type="dxa" w:w="100"/>
            </w:tcMar>
          </w:tcPr>
          <w:p>
            <w:pPr>
              <w:spacing w:after="0"/>
            </w:pPr>
            <w:r>
              <w:rPr>
                <w:b w:val="false"/>
                <w:bCs w:val="false"/>
                <w:color w:val="333333"/>
                <w:sz w:val="19"/>
                <w:szCs w:val="19"/>
              </w:rPr>
              <w:t xml:space="preserve">Depth less than or equal to 100 km, per the published All Japan region definition.</w:t>
            </w:r>
          </w:p>
        </w:tc>
      </w:tr>
      <w:tr>
        <w:tc>
          <w:tcPr>
            <w:tcW w:type="dxa" w:w="605"/>
            <w:shd w:fill="F2F2F2" w:color="auto" w:val="clear"/>
            <w:tcMar>
              <w:top w:type="dxa" w:w="60"/>
              <w:left w:type="dxa" w:w="100"/>
              <w:bottom w:type="dxa" w:w="60"/>
              <w:right w:type="dxa" w:w="100"/>
            </w:tcMar>
          </w:tcPr>
          <w:p>
            <w:pPr>
              <w:spacing w:after="0"/>
            </w:pPr>
            <w:r>
              <w:rPr>
                <w:b w:val="false"/>
                <w:bCs w:val="false"/>
                <w:color w:val="333333"/>
                <w:sz w:val="19"/>
                <w:szCs w:val="19"/>
              </w:rPr>
              <w:t xml:space="preserve">6</w:t>
            </w:r>
          </w:p>
        </w:tc>
        <w:tc>
          <w:tcPr>
            <w:tcW w:type="dxa" w:w="2016"/>
            <w:shd w:fill="F2F2F2" w:color="auto" w:val="clear"/>
            <w:tcMar>
              <w:top w:type="dxa" w:w="60"/>
              <w:left w:type="dxa" w:w="100"/>
              <w:bottom w:type="dxa" w:w="60"/>
              <w:right w:type="dxa" w:w="100"/>
            </w:tcMar>
          </w:tcPr>
          <w:p>
            <w:pPr>
              <w:spacing w:after="0"/>
            </w:pPr>
            <w:r>
              <w:rPr>
                <w:b w:val="false"/>
                <w:bCs w:val="false"/>
                <w:color w:val="333333"/>
                <w:sz w:val="19"/>
                <w:szCs w:val="19"/>
              </w:rPr>
              <w:t xml:space="preserve">Event type</w:t>
            </w:r>
          </w:p>
        </w:tc>
        <w:tc>
          <w:tcPr>
            <w:tcW w:type="dxa" w:w="7459"/>
            <w:shd w:fill="F2F2F2" w:color="auto" w:val="clear"/>
            <w:tcMar>
              <w:top w:type="dxa" w:w="60"/>
              <w:left w:type="dxa" w:w="100"/>
              <w:bottom w:type="dxa" w:w="60"/>
              <w:right w:type="dxa" w:w="100"/>
            </w:tcMar>
          </w:tcPr>
          <w:p>
            <w:pPr>
              <w:spacing w:after="0"/>
            </w:pPr>
            <w:r>
              <w:rPr>
                <w:b w:val="false"/>
                <w:bCs w:val="false"/>
                <w:color w:val="333333"/>
                <w:sz w:val="19"/>
                <w:szCs w:val="19"/>
              </w:rPr>
              <w:t xml:space="preserve">Subsidiary information code (column 61) equal to 1, natural earthquake. Excludes artificial events (3), eruption earthquakes and others (4), and low-frequency earthquakes (5).</w:t>
            </w:r>
          </w:p>
        </w:tc>
      </w:tr>
      <w:tr>
        <w:tc>
          <w:tcPr>
            <w:tcW w:type="dxa" w:w="605"/>
            <w:tcMar>
              <w:top w:type="dxa" w:w="60"/>
              <w:left w:type="dxa" w:w="100"/>
              <w:bottom w:type="dxa" w:w="60"/>
              <w:right w:type="dxa" w:w="100"/>
            </w:tcMar>
          </w:tcPr>
          <w:p>
            <w:pPr>
              <w:spacing w:after="0"/>
            </w:pPr>
            <w:r>
              <w:rPr>
                <w:b w:val="false"/>
                <w:bCs w:val="false"/>
                <w:color w:val="333333"/>
                <w:sz w:val="19"/>
                <w:szCs w:val="19"/>
              </w:rPr>
              <w:t xml:space="preserve">7</w:t>
            </w:r>
          </w:p>
        </w:tc>
        <w:tc>
          <w:tcPr>
            <w:tcW w:type="dxa" w:w="2016"/>
            <w:tcMar>
              <w:top w:type="dxa" w:w="60"/>
              <w:left w:type="dxa" w:w="100"/>
              <w:bottom w:type="dxa" w:w="60"/>
              <w:right w:type="dxa" w:w="100"/>
            </w:tcMar>
          </w:tcPr>
          <w:p>
            <w:pPr>
              <w:spacing w:after="0"/>
            </w:pPr>
            <w:r>
              <w:rPr>
                <w:b w:val="false"/>
                <w:bCs w:val="false"/>
                <w:color w:val="333333"/>
                <w:sz w:val="19"/>
                <w:szCs w:val="19"/>
              </w:rPr>
              <w:t xml:space="preserve">Solution quality</w:t>
            </w:r>
          </w:p>
        </w:tc>
        <w:tc>
          <w:tcPr>
            <w:tcW w:type="dxa" w:w="7459"/>
            <w:tcMar>
              <w:top w:type="dxa" w:w="60"/>
              <w:left w:type="dxa" w:w="100"/>
              <w:bottom w:type="dxa" w:w="60"/>
              <w:right w:type="dxa" w:w="100"/>
            </w:tcMar>
          </w:tcPr>
          <w:p>
            <w:pPr>
              <w:spacing w:after="0"/>
            </w:pPr>
            <w:r>
              <w:rPr>
                <w:b w:val="false"/>
                <w:bCs w:val="false"/>
                <w:color w:val="333333"/>
                <w:sz w:val="19"/>
                <w:szCs w:val="19"/>
              </w:rPr>
              <w:t xml:space="preserve">Hypocenter determination flag (column 96) not N (undetermined, not accepted, or fixed) and not F (far field). Location precision (column 60) not 8 (undetermined or not accepted).</w:t>
            </w:r>
          </w:p>
        </w:tc>
      </w:tr>
      <w:tr>
        <w:tc>
          <w:tcPr>
            <w:tcW w:type="dxa" w:w="605"/>
            <w:shd w:fill="F2F2F2" w:color="auto" w:val="clear"/>
            <w:tcMar>
              <w:top w:type="dxa" w:w="60"/>
              <w:left w:type="dxa" w:w="100"/>
              <w:bottom w:type="dxa" w:w="60"/>
              <w:right w:type="dxa" w:w="100"/>
            </w:tcMar>
          </w:tcPr>
          <w:p>
            <w:pPr>
              <w:spacing w:after="0"/>
            </w:pPr>
            <w:r>
              <w:rPr>
                <w:b w:val="false"/>
                <w:bCs w:val="false"/>
                <w:color w:val="333333"/>
                <w:sz w:val="19"/>
                <w:szCs w:val="19"/>
              </w:rPr>
              <w:t xml:space="preserve">8</w:t>
            </w:r>
          </w:p>
        </w:tc>
        <w:tc>
          <w:tcPr>
            <w:tcW w:type="dxa" w:w="2016"/>
            <w:shd w:fill="F2F2F2" w:color="auto" w:val="clear"/>
            <w:tcMar>
              <w:top w:type="dxa" w:w="60"/>
              <w:left w:type="dxa" w:w="100"/>
              <w:bottom w:type="dxa" w:w="60"/>
              <w:right w:type="dxa" w:w="100"/>
            </w:tcMar>
          </w:tcPr>
          <w:p>
            <w:pPr>
              <w:spacing w:after="0"/>
            </w:pPr>
            <w:r>
              <w:rPr>
                <w:b w:val="false"/>
                <w:bCs w:val="false"/>
                <w:color w:val="333333"/>
                <w:sz w:val="19"/>
                <w:szCs w:val="19"/>
              </w:rPr>
              <w:t xml:space="preserve">Magnitude scale</w:t>
            </w:r>
          </w:p>
        </w:tc>
        <w:tc>
          <w:tcPr>
            <w:tcW w:type="dxa" w:w="7459"/>
            <w:shd w:fill="F2F2F2" w:color="auto" w:val="clear"/>
            <w:tcMar>
              <w:top w:type="dxa" w:w="60"/>
              <w:left w:type="dxa" w:w="100"/>
              <w:bottom w:type="dxa" w:w="60"/>
              <w:right w:type="dxa" w:w="100"/>
            </w:tcMar>
          </w:tcPr>
          <w:p>
            <w:pPr>
              <w:spacing w:after="0"/>
            </w:pPr>
            <w:r>
              <w:rPr>
                <w:b w:val="false"/>
                <w:bCs w:val="false"/>
                <w:color w:val="333333"/>
                <w:sz w:val="19"/>
                <w:szCs w:val="19"/>
              </w:rPr>
              <w:t xml:space="preserve">JMA magnitude per section 3.</w:t>
            </w:r>
          </w:p>
        </w:tc>
      </w:tr>
      <w:tr>
        <w:tc>
          <w:tcPr>
            <w:tcW w:type="dxa" w:w="605"/>
            <w:tcMar>
              <w:top w:type="dxa" w:w="60"/>
              <w:left w:type="dxa" w:w="100"/>
              <w:bottom w:type="dxa" w:w="60"/>
              <w:right w:type="dxa" w:w="100"/>
            </w:tcMar>
          </w:tcPr>
          <w:p>
            <w:pPr>
              <w:spacing w:after="0"/>
            </w:pPr>
            <w:r>
              <w:rPr>
                <w:b w:val="false"/>
                <w:bCs w:val="false"/>
                <w:color w:val="333333"/>
                <w:sz w:val="19"/>
                <w:szCs w:val="19"/>
              </w:rPr>
              <w:t xml:space="preserve">9</w:t>
            </w:r>
          </w:p>
        </w:tc>
        <w:tc>
          <w:tcPr>
            <w:tcW w:type="dxa" w:w="2016"/>
            <w:tcMar>
              <w:top w:type="dxa" w:w="60"/>
              <w:left w:type="dxa" w:w="100"/>
              <w:bottom w:type="dxa" w:w="60"/>
              <w:right w:type="dxa" w:w="100"/>
            </w:tcMar>
          </w:tcPr>
          <w:p>
            <w:pPr>
              <w:spacing w:after="0"/>
            </w:pPr>
            <w:r>
              <w:rPr>
                <w:b w:val="false"/>
                <w:bCs w:val="false"/>
                <w:color w:val="333333"/>
                <w:sz w:val="19"/>
                <w:szCs w:val="19"/>
              </w:rPr>
              <w:t xml:space="preserve">Threshold</w:t>
            </w:r>
          </w:p>
        </w:tc>
        <w:tc>
          <w:tcPr>
            <w:tcW w:type="dxa" w:w="7459"/>
            <w:tcMar>
              <w:top w:type="dxa" w:w="60"/>
              <w:left w:type="dxa" w:w="100"/>
              <w:bottom w:type="dxa" w:w="60"/>
              <w:right w:type="dxa" w:w="100"/>
            </w:tcMar>
          </w:tcPr>
          <w:p>
            <w:pPr>
              <w:spacing w:after="0"/>
            </w:pPr>
            <w:r>
              <w:rPr>
                <w:b w:val="false"/>
                <w:bCs w:val="false"/>
                <w:color w:val="333333"/>
                <w:sz w:val="19"/>
                <w:szCs w:val="19"/>
              </w:rPr>
              <w:t xml:space="preserve">M greater than or equal to 4.0, with the 0.1 bin convention of section 3.</w:t>
            </w:r>
          </w:p>
        </w:tc>
      </w:tr>
    </w:tbl>
    <w:p>
      <w:pPr>
        <w:spacing w:after="100" w:before="220"/>
      </w:pPr>
      <w:r>
        <w:rPr>
          <w:b/>
          <w:bCs/>
          <w:color w:val="0E7C86"/>
          <w:sz w:val="23"/>
          <w:szCs w:val="23"/>
        </w:rPr>
        <w:t xml:space="preserve">Declustering</w:t>
      </w:r>
    </w:p>
    <w:p>
      <w:pPr>
        <w:spacing w:after="120" w:before="0"/>
      </w:pPr>
      <w:r>
        <w:rPr>
          <w:color w:val="333333"/>
          <w:sz w:val="21"/>
          <w:szCs w:val="21"/>
        </w:rPr>
        <w:t xml:space="preserve">None. The catalog is used undeclustered for both the learning period and the testing period, following the published CSEP-Japan practice. Declustering is a modelling choice that would have to be justified separately, and adopting the testing centre’s practice avoids introducing one.</w:t>
      </w:r>
    </w:p>
    <w:p>
      <w:pPr>
        <w:spacing w:after="100" w:before="220"/>
      </w:pPr>
      <w:r>
        <w:rPr>
          <w:b/>
          <w:bCs/>
          <w:color w:val="0E7C86"/>
          <w:sz w:val="23"/>
          <w:szCs w:val="23"/>
        </w:rPr>
        <w:t xml:space="preserve">Negative magnitude encoding</w:t>
      </w:r>
    </w:p>
    <w:p>
      <w:pPr>
        <w:spacing w:after="120" w:before="0"/>
      </w:pPr>
      <w:r>
        <w:rPr>
          <w:color w:val="333333"/>
          <w:sz w:val="21"/>
          <w:szCs w:val="21"/>
        </w:rPr>
        <w:t xml:space="preserve">The JMA format encodes magnitudes below zero in the magnitude columns using letter prefixes: −0.1 to −0.9 as "-1" to "-9", −1.0 to −1.9 as "A0" to "A9", −2.0 as "B0", −3.0 as "C0". The parser must decode these rather than coercing them to zero. They fall far below threshold, so they affect no target event, but a parser that silently produces zeros is a parser that is wrong somewhere else too.</w:t>
      </w:r>
    </w:p>
    <w:p>
      <w:pPr>
        <w:pBdr>
          <w:bottom w:val="single" w:color="6B2FA8" w:sz="8" w:space="4"/>
        </w:pBdr>
        <w:spacing w:after="160" w:before="320"/>
      </w:pPr>
      <w:r>
        <w:rPr>
          <w:b/>
          <w:bCs/>
          <w:color w:val="6B2FA8"/>
          <w:sz w:val="28"/>
          <w:szCs w:val="28"/>
        </w:rPr>
        <w:t xml:space="preserve">6. Recorded properties of the JMA magnitude scale</w:t>
      </w:r>
    </w:p>
    <w:p>
      <w:pPr>
        <w:spacing w:after="120" w:before="0"/>
      </w:pPr>
      <w:r>
        <w:rPr>
          <w:i/>
          <w:iCs/>
          <w:color w:val="595959"/>
        </w:rPr>
        <w:t xml:space="preserve">Measured 2026-10-17 from the 2023 catalog year, whole catalog extent, before any filtering. Recorded as a known condition of the data. These measurements did not inform sections 2, 3 or 4.</w:t>
      </w:r>
    </w:p>
    <w:p>
      <w:pPr>
        <w:spacing w:after="100" w:before="220"/>
      </w:pPr>
      <w:r>
        <w:rPr>
          <w:b/>
          <w:bCs/>
          <w:color w:val="0E7C86"/>
          <w:sz w:val="23"/>
          <w:szCs w:val="23"/>
        </w:rPr>
        <w:t xml:space="preserve">The scale is piecewise, and the transition sits at the threshold</w:t>
      </w:r>
    </w:p>
    <w:p>
      <w:pPr>
        <w:spacing w:after="120" w:before="0"/>
      </w:pPr>
      <w:r>
        <w:rPr>
          <w:color w:val="333333"/>
          <w:sz w:val="21"/>
          <w:szCs w:val="21"/>
        </w:rPr>
        <w:t xml:space="preserve">JMA computes magnitude from velocity amplitudes for most events and from displacement amplitudes for large events, where velocity sensors clip. Both are the JMA magnitude. In 2023 the handover occurred across the M4 bin.</w:t>
      </w:r>
    </w:p>
    <w:tbl>
      <w:tblPr>
        <w:tblW w:type="dxa" w:w="10080"/>
        <w:tblBorders>
          <w:top w:val="single" w:color="C9C9C9" w:sz="4"/>
          <w:left w:val="single" w:color="C9C9C9" w:sz="4"/>
          <w:bottom w:val="single" w:color="C9C9C9" w:sz="4"/>
          <w:right w:val="single" w:color="C9C9C9" w:sz="4"/>
          <w:insideH w:val="single" w:color="DADADA" w:sz="2"/>
          <w:insideV w:val="single" w:color="DADADA" w:sz="2"/>
        </w:tblBorders>
      </w:tblPr>
      <w:tblGrid>
        <w:gridCol w:w="2822"/>
        <w:gridCol w:w="2419"/>
        <w:gridCol w:w="2419"/>
        <w:gridCol w:w="2420"/>
      </w:tblGrid>
      <w:tr>
        <w:trPr>
          <w:tblHeader/>
        </w:trPr>
        <w:tc>
          <w:tcPr>
            <w:tcW w:type="dxa" w:w="2822"/>
            <w:shd w:fill="EDE4F5" w:color="auto" w:val="clear"/>
            <w:tcMar>
              <w:top w:type="dxa" w:w="60"/>
              <w:left w:type="dxa" w:w="100"/>
              <w:bottom w:type="dxa" w:w="60"/>
              <w:right w:type="dxa" w:w="100"/>
            </w:tcMar>
          </w:tcPr>
          <w:p>
            <w:pPr>
              <w:spacing w:after="0"/>
            </w:pPr>
            <w:r>
              <w:rPr>
                <w:b/>
                <w:bCs/>
                <w:color w:val="6B2FA8"/>
                <w:sz w:val="19"/>
                <w:szCs w:val="19"/>
              </w:rPr>
              <w:t xml:space="preserve">Magnitude bin</w:t>
            </w:r>
          </w:p>
        </w:tc>
        <w:tc>
          <w:tcPr>
            <w:tcW w:type="dxa" w:w="2419"/>
            <w:shd w:fill="EDE4F5" w:color="auto" w:val="clear"/>
            <w:tcMar>
              <w:top w:type="dxa" w:w="60"/>
              <w:left w:type="dxa" w:w="100"/>
              <w:bottom w:type="dxa" w:w="60"/>
              <w:right w:type="dxa" w:w="100"/>
            </w:tcMar>
          </w:tcPr>
          <w:p>
            <w:pPr>
              <w:spacing w:after="0"/>
            </w:pPr>
            <w:r>
              <w:rPr>
                <w:b/>
                <w:bCs/>
                <w:color w:val="6B2FA8"/>
                <w:sz w:val="19"/>
                <w:szCs w:val="19"/>
              </w:rPr>
              <w:t xml:space="preserve">V (MV)</w:t>
            </w:r>
          </w:p>
        </w:tc>
        <w:tc>
          <w:tcPr>
            <w:tcW w:type="dxa" w:w="2419"/>
            <w:shd w:fill="EDE4F5" w:color="auto" w:val="clear"/>
            <w:tcMar>
              <w:top w:type="dxa" w:w="60"/>
              <w:left w:type="dxa" w:w="100"/>
              <w:bottom w:type="dxa" w:w="60"/>
              <w:right w:type="dxa" w:w="100"/>
            </w:tcMar>
          </w:tcPr>
          <w:p>
            <w:pPr>
              <w:spacing w:after="0"/>
            </w:pPr>
            <w:r>
              <w:rPr>
                <w:b/>
                <w:bCs/>
                <w:color w:val="6B2FA8"/>
                <w:sz w:val="19"/>
                <w:szCs w:val="19"/>
              </w:rPr>
              <w:t xml:space="preserve">D (MD)</w:t>
            </w:r>
          </w:p>
        </w:tc>
        <w:tc>
          <w:tcPr>
            <w:tcW w:type="dxa" w:w="2420"/>
            <w:shd w:fill="EDE4F5" w:color="auto" w:val="clear"/>
            <w:tcMar>
              <w:top w:type="dxa" w:w="60"/>
              <w:left w:type="dxa" w:w="100"/>
              <w:bottom w:type="dxa" w:w="60"/>
              <w:right w:type="dxa" w:w="100"/>
            </w:tcMar>
          </w:tcPr>
          <w:p>
            <w:pPr>
              <w:spacing w:after="0"/>
            </w:pPr>
            <w:r>
              <w:rPr>
                <w:b/>
                <w:bCs/>
                <w:color w:val="6B2FA8"/>
                <w:sz w:val="19"/>
                <w:szCs w:val="19"/>
              </w:rPr>
              <w:t xml:space="preserve">MD share</w:t>
            </w:r>
          </w:p>
        </w:tc>
      </w:tr>
      <w:tr>
        <w:tc>
          <w:tcPr>
            <w:tcW w:type="dxa" w:w="2822"/>
            <w:tcMar>
              <w:top w:type="dxa" w:w="60"/>
              <w:left w:type="dxa" w:w="100"/>
              <w:bottom w:type="dxa" w:w="60"/>
              <w:right w:type="dxa" w:w="100"/>
            </w:tcMar>
          </w:tcPr>
          <w:p>
            <w:pPr>
              <w:spacing w:after="0"/>
            </w:pPr>
            <w:r>
              <w:rPr>
                <w:b w:val="false"/>
                <w:bCs w:val="false"/>
                <w:color w:val="333333"/>
                <w:sz w:val="19"/>
                <w:szCs w:val="19"/>
              </w:rPr>
              <w:t xml:space="preserve">M3</w:t>
            </w:r>
          </w:p>
        </w:tc>
        <w:tc>
          <w:tcPr>
            <w:tcW w:type="dxa" w:w="2419"/>
            <w:tcMar>
              <w:top w:type="dxa" w:w="60"/>
              <w:left w:type="dxa" w:w="100"/>
              <w:bottom w:type="dxa" w:w="60"/>
              <w:right w:type="dxa" w:w="100"/>
            </w:tcMar>
          </w:tcPr>
          <w:p>
            <w:pPr>
              <w:spacing w:after="0"/>
            </w:pPr>
            <w:r>
              <w:rPr>
                <w:b w:val="false"/>
                <w:bCs w:val="false"/>
                <w:color w:val="333333"/>
                <w:sz w:val="19"/>
                <w:szCs w:val="19"/>
              </w:rPr>
              <w:t xml:space="preserve">4,129</w:t>
            </w:r>
          </w:p>
        </w:tc>
        <w:tc>
          <w:tcPr>
            <w:tcW w:type="dxa" w:w="2419"/>
            <w:tcMar>
              <w:top w:type="dxa" w:w="60"/>
              <w:left w:type="dxa" w:w="100"/>
              <w:bottom w:type="dxa" w:w="60"/>
              <w:right w:type="dxa" w:w="100"/>
            </w:tcMar>
          </w:tcPr>
          <w:p>
            <w:pPr>
              <w:spacing w:after="0"/>
            </w:pPr>
            <w:r>
              <w:rPr>
                <w:b w:val="false"/>
                <w:bCs w:val="false"/>
                <w:color w:val="333333"/>
                <w:sz w:val="19"/>
                <w:szCs w:val="19"/>
              </w:rPr>
              <w:t xml:space="preserve">107</w:t>
            </w:r>
          </w:p>
        </w:tc>
        <w:tc>
          <w:tcPr>
            <w:tcW w:type="dxa" w:w="2420"/>
            <w:tcMar>
              <w:top w:type="dxa" w:w="60"/>
              <w:left w:type="dxa" w:w="100"/>
              <w:bottom w:type="dxa" w:w="60"/>
              <w:right w:type="dxa" w:w="100"/>
            </w:tcMar>
          </w:tcPr>
          <w:p>
            <w:pPr>
              <w:spacing w:after="0"/>
            </w:pPr>
            <w:r>
              <w:rPr>
                <w:b w:val="false"/>
                <w:bCs w:val="false"/>
                <w:color w:val="333333"/>
                <w:sz w:val="19"/>
                <w:szCs w:val="19"/>
              </w:rPr>
              <w:t xml:space="preserve">2.5%</w:t>
            </w:r>
          </w:p>
        </w:tc>
      </w:tr>
      <w:tr>
        <w:tc>
          <w:tcPr>
            <w:tcW w:type="dxa" w:w="2822"/>
            <w:shd w:fill="E8F4EC" w:color="auto" w:val="clear"/>
            <w:tcMar>
              <w:top w:type="dxa" w:w="60"/>
              <w:left w:type="dxa" w:w="100"/>
              <w:bottom w:type="dxa" w:w="60"/>
              <w:right w:type="dxa" w:w="100"/>
            </w:tcMar>
          </w:tcPr>
          <w:p>
            <w:pPr>
              <w:spacing w:after="0"/>
            </w:pPr>
            <w:r>
              <w:rPr>
                <w:b w:val="false"/>
                <w:bCs w:val="false"/>
                <w:color w:val="333333"/>
                <w:sz w:val="19"/>
                <w:szCs w:val="19"/>
              </w:rPr>
              <w:t xml:space="preserve">M4</w:t>
            </w:r>
          </w:p>
        </w:tc>
        <w:tc>
          <w:tcPr>
            <w:tcW w:type="dxa" w:w="2419"/>
            <w:shd w:fill="E8F4EC" w:color="auto" w:val="clear"/>
            <w:tcMar>
              <w:top w:type="dxa" w:w="60"/>
              <w:left w:type="dxa" w:w="100"/>
              <w:bottom w:type="dxa" w:w="60"/>
              <w:right w:type="dxa" w:w="100"/>
            </w:tcMar>
          </w:tcPr>
          <w:p>
            <w:pPr>
              <w:spacing w:after="0"/>
            </w:pPr>
            <w:r>
              <w:rPr>
                <w:b w:val="false"/>
                <w:bCs w:val="false"/>
                <w:color w:val="333333"/>
                <w:sz w:val="19"/>
                <w:szCs w:val="19"/>
              </w:rPr>
              <w:t xml:space="preserve">564</w:t>
            </w:r>
          </w:p>
        </w:tc>
        <w:tc>
          <w:tcPr>
            <w:tcW w:type="dxa" w:w="2419"/>
            <w:shd w:fill="E8F4EC" w:color="auto" w:val="clear"/>
            <w:tcMar>
              <w:top w:type="dxa" w:w="60"/>
              <w:left w:type="dxa" w:w="100"/>
              <w:bottom w:type="dxa" w:w="60"/>
              <w:right w:type="dxa" w:w="100"/>
            </w:tcMar>
          </w:tcPr>
          <w:p>
            <w:pPr>
              <w:spacing w:after="0"/>
            </w:pPr>
            <w:r>
              <w:rPr>
                <w:b w:val="false"/>
                <w:bCs w:val="false"/>
                <w:color w:val="333333"/>
                <w:sz w:val="19"/>
                <w:szCs w:val="19"/>
              </w:rPr>
              <w:t xml:space="preserve">396</w:t>
            </w:r>
          </w:p>
        </w:tc>
        <w:tc>
          <w:tcPr>
            <w:tcW w:type="dxa" w:w="2420"/>
            <w:shd w:fill="E8F4EC" w:color="auto" w:val="clear"/>
            <w:tcMar>
              <w:top w:type="dxa" w:w="60"/>
              <w:left w:type="dxa" w:w="100"/>
              <w:bottom w:type="dxa" w:w="60"/>
              <w:right w:type="dxa" w:w="100"/>
            </w:tcMar>
          </w:tcPr>
          <w:p>
            <w:pPr>
              <w:spacing w:after="0"/>
            </w:pPr>
            <w:r>
              <w:rPr>
                <w:b w:val="false"/>
                <w:bCs w:val="false"/>
                <w:color w:val="333333"/>
                <w:sz w:val="19"/>
                <w:szCs w:val="19"/>
              </w:rPr>
              <w:t xml:space="preserve">41%</w:t>
            </w:r>
          </w:p>
        </w:tc>
      </w:tr>
      <w:tr>
        <w:tc>
          <w:tcPr>
            <w:tcW w:type="dxa" w:w="2822"/>
            <w:tcMar>
              <w:top w:type="dxa" w:w="60"/>
              <w:left w:type="dxa" w:w="100"/>
              <w:bottom w:type="dxa" w:w="60"/>
              <w:right w:type="dxa" w:w="100"/>
            </w:tcMar>
          </w:tcPr>
          <w:p>
            <w:pPr>
              <w:spacing w:after="0"/>
            </w:pPr>
            <w:r>
              <w:rPr>
                <w:b w:val="false"/>
                <w:bCs w:val="false"/>
                <w:color w:val="333333"/>
                <w:sz w:val="19"/>
                <w:szCs w:val="19"/>
              </w:rPr>
              <w:t xml:space="preserve">M5</w:t>
            </w:r>
          </w:p>
        </w:tc>
        <w:tc>
          <w:tcPr>
            <w:tcW w:type="dxa" w:w="2419"/>
            <w:tcMar>
              <w:top w:type="dxa" w:w="60"/>
              <w:left w:type="dxa" w:w="100"/>
              <w:bottom w:type="dxa" w:w="60"/>
              <w:right w:type="dxa" w:w="100"/>
            </w:tcMar>
          </w:tcPr>
          <w:p>
            <w:pPr>
              <w:spacing w:after="0"/>
            </w:pPr>
            <w:r>
              <w:rPr>
                <w:b w:val="false"/>
                <w:bCs w:val="false"/>
                <w:color w:val="333333"/>
                <w:sz w:val="19"/>
                <w:szCs w:val="19"/>
              </w:rPr>
              <w:t xml:space="preserve">25</w:t>
            </w:r>
          </w:p>
        </w:tc>
        <w:tc>
          <w:tcPr>
            <w:tcW w:type="dxa" w:w="2419"/>
            <w:tcMar>
              <w:top w:type="dxa" w:w="60"/>
              <w:left w:type="dxa" w:w="100"/>
              <w:bottom w:type="dxa" w:w="60"/>
              <w:right w:type="dxa" w:w="100"/>
            </w:tcMar>
          </w:tcPr>
          <w:p>
            <w:pPr>
              <w:spacing w:after="0"/>
            </w:pPr>
            <w:r>
              <w:rPr>
                <w:b w:val="false"/>
                <w:bCs w:val="false"/>
                <w:color w:val="333333"/>
                <w:sz w:val="19"/>
                <w:szCs w:val="19"/>
              </w:rPr>
              <w:t xml:space="preserve">117</w:t>
            </w:r>
          </w:p>
        </w:tc>
        <w:tc>
          <w:tcPr>
            <w:tcW w:type="dxa" w:w="2420"/>
            <w:tcMar>
              <w:top w:type="dxa" w:w="60"/>
              <w:left w:type="dxa" w:w="100"/>
              <w:bottom w:type="dxa" w:w="60"/>
              <w:right w:type="dxa" w:w="100"/>
            </w:tcMar>
          </w:tcPr>
          <w:p>
            <w:pPr>
              <w:spacing w:after="0"/>
            </w:pPr>
            <w:r>
              <w:rPr>
                <w:b w:val="false"/>
                <w:bCs w:val="false"/>
                <w:color w:val="333333"/>
                <w:sz w:val="19"/>
                <w:szCs w:val="19"/>
              </w:rPr>
              <w:t xml:space="preserve">82%</w:t>
            </w:r>
          </w:p>
        </w:tc>
      </w:tr>
      <w:tr>
        <w:tc>
          <w:tcPr>
            <w:tcW w:type="dxa" w:w="2822"/>
            <w:shd w:fill="F2F2F2" w:color="auto" w:val="clear"/>
            <w:tcMar>
              <w:top w:type="dxa" w:w="60"/>
              <w:left w:type="dxa" w:w="100"/>
              <w:bottom w:type="dxa" w:w="60"/>
              <w:right w:type="dxa" w:w="100"/>
            </w:tcMar>
          </w:tcPr>
          <w:p>
            <w:pPr>
              <w:spacing w:after="0"/>
            </w:pPr>
            <w:r>
              <w:rPr>
                <w:b w:val="false"/>
                <w:bCs w:val="false"/>
                <w:color w:val="333333"/>
                <w:sz w:val="19"/>
                <w:szCs w:val="19"/>
              </w:rPr>
              <w:t xml:space="preserve">M6</w:t>
            </w:r>
          </w:p>
        </w:tc>
        <w:tc>
          <w:tcPr>
            <w:tcW w:type="dxa" w:w="2419"/>
            <w:shd w:fill="F2F2F2" w:color="auto" w:val="clear"/>
            <w:tcMar>
              <w:top w:type="dxa" w:w="60"/>
              <w:left w:type="dxa" w:w="100"/>
              <w:bottom w:type="dxa" w:w="60"/>
              <w:right w:type="dxa" w:w="100"/>
            </w:tcMar>
          </w:tcPr>
          <w:p>
            <w:pPr>
              <w:spacing w:after="0"/>
            </w:pPr>
            <w:r>
              <w:rPr>
                <w:b w:val="false"/>
                <w:bCs w:val="false"/>
                <w:color w:val="333333"/>
                <w:sz w:val="19"/>
                <w:szCs w:val="19"/>
              </w:rPr>
              <w:t xml:space="preserve">0</w:t>
            </w:r>
          </w:p>
        </w:tc>
        <w:tc>
          <w:tcPr>
            <w:tcW w:type="dxa" w:w="2419"/>
            <w:shd w:fill="F2F2F2" w:color="auto" w:val="clear"/>
            <w:tcMar>
              <w:top w:type="dxa" w:w="60"/>
              <w:left w:type="dxa" w:w="100"/>
              <w:bottom w:type="dxa" w:w="60"/>
              <w:right w:type="dxa" w:w="100"/>
            </w:tcMar>
          </w:tcPr>
          <w:p>
            <w:pPr>
              <w:spacing w:after="0"/>
            </w:pPr>
            <w:r>
              <w:rPr>
                <w:b w:val="false"/>
                <w:bCs w:val="false"/>
                <w:color w:val="333333"/>
                <w:sz w:val="19"/>
                <w:szCs w:val="19"/>
              </w:rPr>
              <w:t xml:space="preserve">24</w:t>
            </w:r>
          </w:p>
        </w:tc>
        <w:tc>
          <w:tcPr>
            <w:tcW w:type="dxa" w:w="2420"/>
            <w:shd w:fill="F2F2F2" w:color="auto" w:val="clear"/>
            <w:tcMar>
              <w:top w:type="dxa" w:w="60"/>
              <w:left w:type="dxa" w:w="100"/>
              <w:bottom w:type="dxa" w:w="60"/>
              <w:right w:type="dxa" w:w="100"/>
            </w:tcMar>
          </w:tcPr>
          <w:p>
            <w:pPr>
              <w:spacing w:after="0"/>
            </w:pPr>
            <w:r>
              <w:rPr>
                <w:b w:val="false"/>
                <w:bCs w:val="false"/>
                <w:color w:val="333333"/>
                <w:sz w:val="19"/>
                <w:szCs w:val="19"/>
              </w:rPr>
              <w:t xml:space="preserve">100%</w:t>
            </w:r>
          </w:p>
        </w:tc>
      </w:tr>
    </w:tbl>
    <w:p>
      <w:pPr>
        <w:spacing w:after="100" w:before="220"/>
      </w:pPr>
      <w:r>
        <w:rPr>
          <w:b/>
          <w:bCs/>
          <w:color w:val="0E7C86"/>
          <w:sz w:val="23"/>
          <w:szCs w:val="23"/>
        </w:rPr>
        <w:t xml:space="preserve">The two scales agree where the threshold sits</w:t>
      </w:r>
    </w:p>
    <w:p>
      <w:pPr>
        <w:spacing w:after="120" w:before="0"/>
      </w:pPr>
      <w:r>
        <w:rPr>
          <w:color w:val="333333"/>
          <w:sz w:val="21"/>
          <w:szCs w:val="21"/>
        </w:rPr>
        <w:t xml:space="preserve">463 events in 2023 carry both an MV and an MD magnitude, which permits the offset between the scales to be measured directly from the catalog rather than cited.</w:t>
      </w:r>
    </w:p>
    <w:tbl>
      <w:tblPr>
        <w:tblW w:type="dxa" w:w="10080"/>
        <w:tblBorders>
          <w:top w:val="single" w:color="C9C9C9" w:sz="4"/>
          <w:left w:val="single" w:color="C9C9C9" w:sz="4"/>
          <w:bottom w:val="single" w:color="C9C9C9" w:sz="4"/>
          <w:right w:val="single" w:color="C9C9C9" w:sz="4"/>
          <w:insideH w:val="single" w:color="DADADA" w:sz="2"/>
          <w:insideV w:val="single" w:color="DADADA" w:sz="2"/>
        </w:tblBorders>
      </w:tblPr>
      <w:tblGrid>
        <w:gridCol w:w="2621"/>
        <w:gridCol w:w="2016"/>
        <w:gridCol w:w="5443"/>
      </w:tblGrid>
      <w:tr>
        <w:trPr>
          <w:tblHeader/>
        </w:trPr>
        <w:tc>
          <w:tcPr>
            <w:tcW w:type="dxa" w:w="2621"/>
            <w:shd w:fill="EDE4F5" w:color="auto" w:val="clear"/>
            <w:tcMar>
              <w:top w:type="dxa" w:w="60"/>
              <w:left w:type="dxa" w:w="100"/>
              <w:bottom w:type="dxa" w:w="60"/>
              <w:right w:type="dxa" w:w="100"/>
            </w:tcMar>
          </w:tcPr>
          <w:p>
            <w:pPr>
              <w:spacing w:after="0"/>
            </w:pPr>
            <w:r>
              <w:rPr>
                <w:b/>
                <w:bCs/>
                <w:color w:val="6B2FA8"/>
                <w:sz w:val="19"/>
                <w:szCs w:val="19"/>
              </w:rPr>
              <w:t xml:space="preserve">MV bin</w:t>
            </w:r>
          </w:p>
        </w:tc>
        <w:tc>
          <w:tcPr>
            <w:tcW w:type="dxa" w:w="2016"/>
            <w:shd w:fill="EDE4F5" w:color="auto" w:val="clear"/>
            <w:tcMar>
              <w:top w:type="dxa" w:w="60"/>
              <w:left w:type="dxa" w:w="100"/>
              <w:bottom w:type="dxa" w:w="60"/>
              <w:right w:type="dxa" w:w="100"/>
            </w:tcMar>
          </w:tcPr>
          <w:p>
            <w:pPr>
              <w:spacing w:after="0"/>
            </w:pPr>
            <w:r>
              <w:rPr>
                <w:b/>
                <w:bCs/>
                <w:color w:val="6B2FA8"/>
                <w:sz w:val="19"/>
                <w:szCs w:val="19"/>
              </w:rPr>
              <w:t xml:space="preserve">n</w:t>
            </w:r>
          </w:p>
        </w:tc>
        <w:tc>
          <w:tcPr>
            <w:tcW w:type="dxa" w:w="5443"/>
            <w:shd w:fill="EDE4F5" w:color="auto" w:val="clear"/>
            <w:tcMar>
              <w:top w:type="dxa" w:w="60"/>
              <w:left w:type="dxa" w:w="100"/>
              <w:bottom w:type="dxa" w:w="60"/>
              <w:right w:type="dxa" w:w="100"/>
            </w:tcMar>
          </w:tcPr>
          <w:p>
            <w:pPr>
              <w:spacing w:after="0"/>
            </w:pPr>
            <w:r>
              <w:rPr>
                <w:b/>
                <w:bCs/>
                <w:color w:val="6B2FA8"/>
                <w:sz w:val="19"/>
                <w:szCs w:val="19"/>
              </w:rPr>
              <w:t xml:space="preserve">Mean MD − MV</w:t>
            </w:r>
          </w:p>
        </w:tc>
      </w:tr>
      <w:tr>
        <w:tc>
          <w:tcPr>
            <w:tcW w:type="dxa" w:w="2621"/>
            <w:tcMar>
              <w:top w:type="dxa" w:w="60"/>
              <w:left w:type="dxa" w:w="100"/>
              <w:bottom w:type="dxa" w:w="60"/>
              <w:right w:type="dxa" w:w="100"/>
            </w:tcMar>
          </w:tcPr>
          <w:p>
            <w:pPr>
              <w:spacing w:after="0"/>
            </w:pPr>
            <w:r>
              <w:rPr>
                <w:b w:val="false"/>
                <w:bCs w:val="false"/>
                <w:color w:val="333333"/>
                <w:sz w:val="19"/>
                <w:szCs w:val="19"/>
              </w:rPr>
              <w:t xml:space="preserve">3.x</w:t>
            </w:r>
          </w:p>
        </w:tc>
        <w:tc>
          <w:tcPr>
            <w:tcW w:type="dxa" w:w="2016"/>
            <w:tcMar>
              <w:top w:type="dxa" w:w="60"/>
              <w:left w:type="dxa" w:w="100"/>
              <w:bottom w:type="dxa" w:w="60"/>
              <w:right w:type="dxa" w:w="100"/>
            </w:tcMar>
          </w:tcPr>
          <w:p>
            <w:pPr>
              <w:spacing w:after="0"/>
            </w:pPr>
            <w:r>
              <w:rPr>
                <w:b w:val="false"/>
                <w:bCs w:val="false"/>
                <w:color w:val="333333"/>
                <w:sz w:val="19"/>
                <w:szCs w:val="19"/>
              </w:rPr>
              <w:t xml:space="preserve">144</w:t>
            </w:r>
          </w:p>
        </w:tc>
        <w:tc>
          <w:tcPr>
            <w:tcW w:type="dxa" w:w="5443"/>
            <w:tcMar>
              <w:top w:type="dxa" w:w="60"/>
              <w:left w:type="dxa" w:w="100"/>
              <w:bottom w:type="dxa" w:w="60"/>
              <w:right w:type="dxa" w:w="100"/>
            </w:tcMar>
          </w:tcPr>
          <w:p>
            <w:pPr>
              <w:spacing w:after="0"/>
            </w:pPr>
            <w:r>
              <w:rPr>
                <w:b w:val="false"/>
                <w:bCs w:val="false"/>
                <w:color w:val="333333"/>
                <w:sz w:val="19"/>
                <w:szCs w:val="19"/>
              </w:rPr>
              <w:t xml:space="preserve">+0.209</w:t>
            </w:r>
          </w:p>
        </w:tc>
      </w:tr>
      <w:tr>
        <w:tc>
          <w:tcPr>
            <w:tcW w:type="dxa" w:w="2621"/>
            <w:shd w:fill="E8F4EC" w:color="auto" w:val="clear"/>
            <w:tcMar>
              <w:top w:type="dxa" w:w="60"/>
              <w:left w:type="dxa" w:w="100"/>
              <w:bottom w:type="dxa" w:w="60"/>
              <w:right w:type="dxa" w:w="100"/>
            </w:tcMar>
          </w:tcPr>
          <w:p>
            <w:pPr>
              <w:spacing w:after="0"/>
            </w:pPr>
            <w:r>
              <w:rPr>
                <w:b w:val="false"/>
                <w:bCs w:val="false"/>
                <w:color w:val="333333"/>
                <w:sz w:val="19"/>
                <w:szCs w:val="19"/>
              </w:rPr>
              <w:t xml:space="preserve">4.x</w:t>
            </w:r>
          </w:p>
        </w:tc>
        <w:tc>
          <w:tcPr>
            <w:tcW w:type="dxa" w:w="2016"/>
            <w:shd w:fill="E8F4EC" w:color="auto" w:val="clear"/>
            <w:tcMar>
              <w:top w:type="dxa" w:w="60"/>
              <w:left w:type="dxa" w:w="100"/>
              <w:bottom w:type="dxa" w:w="60"/>
              <w:right w:type="dxa" w:w="100"/>
            </w:tcMar>
          </w:tcPr>
          <w:p>
            <w:pPr>
              <w:spacing w:after="0"/>
            </w:pPr>
            <w:r>
              <w:rPr>
                <w:b w:val="false"/>
                <w:bCs w:val="false"/>
                <w:color w:val="333333"/>
                <w:sz w:val="19"/>
                <w:szCs w:val="19"/>
              </w:rPr>
              <w:t xml:space="preserve">293</w:t>
            </w:r>
          </w:p>
        </w:tc>
        <w:tc>
          <w:tcPr>
            <w:tcW w:type="dxa" w:w="5443"/>
            <w:shd w:fill="E8F4EC" w:color="auto" w:val="clear"/>
            <w:tcMar>
              <w:top w:type="dxa" w:w="60"/>
              <w:left w:type="dxa" w:w="100"/>
              <w:bottom w:type="dxa" w:w="60"/>
              <w:right w:type="dxa" w:w="100"/>
            </w:tcMar>
          </w:tcPr>
          <w:p>
            <w:pPr>
              <w:spacing w:after="0"/>
            </w:pPr>
            <w:r>
              <w:rPr>
                <w:b w:val="false"/>
                <w:bCs w:val="false"/>
                <w:color w:val="333333"/>
                <w:sz w:val="19"/>
                <w:szCs w:val="19"/>
              </w:rPr>
              <w:t xml:space="preserve">−0.020</w:t>
            </w:r>
          </w:p>
        </w:tc>
      </w:tr>
      <w:tr>
        <w:tc>
          <w:tcPr>
            <w:tcW w:type="dxa" w:w="2621"/>
            <w:tcMar>
              <w:top w:type="dxa" w:w="60"/>
              <w:left w:type="dxa" w:w="100"/>
              <w:bottom w:type="dxa" w:w="60"/>
              <w:right w:type="dxa" w:w="100"/>
            </w:tcMar>
          </w:tcPr>
          <w:p>
            <w:pPr>
              <w:spacing w:after="0"/>
            </w:pPr>
            <w:r>
              <w:rPr>
                <w:b w:val="false"/>
                <w:bCs w:val="false"/>
                <w:color w:val="333333"/>
                <w:sz w:val="19"/>
                <w:szCs w:val="19"/>
              </w:rPr>
              <w:t xml:space="preserve">5.x</w:t>
            </w:r>
          </w:p>
        </w:tc>
        <w:tc>
          <w:tcPr>
            <w:tcW w:type="dxa" w:w="2016"/>
            <w:tcMar>
              <w:top w:type="dxa" w:w="60"/>
              <w:left w:type="dxa" w:w="100"/>
              <w:bottom w:type="dxa" w:w="60"/>
              <w:right w:type="dxa" w:w="100"/>
            </w:tcMar>
          </w:tcPr>
          <w:p>
            <w:pPr>
              <w:spacing w:after="0"/>
            </w:pPr>
            <w:r>
              <w:rPr>
                <w:b w:val="false"/>
                <w:bCs w:val="false"/>
                <w:color w:val="333333"/>
                <w:sz w:val="19"/>
                <w:szCs w:val="19"/>
              </w:rPr>
              <w:t xml:space="preserve">23</w:t>
            </w:r>
          </w:p>
        </w:tc>
        <w:tc>
          <w:tcPr>
            <w:tcW w:type="dxa" w:w="5443"/>
            <w:tcMar>
              <w:top w:type="dxa" w:w="60"/>
              <w:left w:type="dxa" w:w="100"/>
              <w:bottom w:type="dxa" w:w="60"/>
              <w:right w:type="dxa" w:w="100"/>
            </w:tcMar>
          </w:tcPr>
          <w:p>
            <w:pPr>
              <w:spacing w:after="0"/>
            </w:pPr>
            <w:r>
              <w:rPr>
                <w:b w:val="false"/>
                <w:bCs w:val="false"/>
                <w:color w:val="333333"/>
                <w:sz w:val="19"/>
                <w:szCs w:val="19"/>
              </w:rPr>
              <w:t xml:space="preserve">−0.317</w:t>
            </w:r>
          </w:p>
        </w:tc>
      </w:tr>
      <w:tr>
        <w:tc>
          <w:tcPr>
            <w:tcW w:type="dxa" w:w="2621"/>
            <w:shd w:fill="F2F2F2" w:color="auto" w:val="clear"/>
            <w:tcMar>
              <w:top w:type="dxa" w:w="60"/>
              <w:left w:type="dxa" w:w="100"/>
              <w:bottom w:type="dxa" w:w="60"/>
              <w:right w:type="dxa" w:w="100"/>
            </w:tcMar>
          </w:tcPr>
          <w:p>
            <w:pPr>
              <w:spacing w:after="0"/>
            </w:pPr>
            <w:r>
              <w:rPr>
                <w:b w:val="false"/>
                <w:bCs w:val="false"/>
                <w:color w:val="333333"/>
                <w:sz w:val="19"/>
                <w:szCs w:val="19"/>
              </w:rPr>
              <w:t xml:space="preserve">6.x</w:t>
            </w:r>
          </w:p>
        </w:tc>
        <w:tc>
          <w:tcPr>
            <w:tcW w:type="dxa" w:w="2016"/>
            <w:shd w:fill="F2F2F2" w:color="auto" w:val="clear"/>
            <w:tcMar>
              <w:top w:type="dxa" w:w="60"/>
              <w:left w:type="dxa" w:w="100"/>
              <w:bottom w:type="dxa" w:w="60"/>
              <w:right w:type="dxa" w:w="100"/>
            </w:tcMar>
          </w:tcPr>
          <w:p>
            <w:pPr>
              <w:spacing w:after="0"/>
            </w:pPr>
            <w:r>
              <w:rPr>
                <w:b w:val="false"/>
                <w:bCs w:val="false"/>
                <w:color w:val="333333"/>
                <w:sz w:val="19"/>
                <w:szCs w:val="19"/>
              </w:rPr>
              <w:t xml:space="preserve">2</w:t>
            </w:r>
          </w:p>
        </w:tc>
        <w:tc>
          <w:tcPr>
            <w:tcW w:type="dxa" w:w="5443"/>
            <w:shd w:fill="F2F2F2" w:color="auto" w:val="clear"/>
            <w:tcMar>
              <w:top w:type="dxa" w:w="60"/>
              <w:left w:type="dxa" w:w="100"/>
              <w:bottom w:type="dxa" w:w="60"/>
              <w:right w:type="dxa" w:w="100"/>
            </w:tcMar>
          </w:tcPr>
          <w:p>
            <w:pPr>
              <w:spacing w:after="0"/>
            </w:pPr>
            <w:r>
              <w:rPr>
                <w:b w:val="false"/>
                <w:bCs w:val="false"/>
                <w:color w:val="333333"/>
                <w:sz w:val="19"/>
                <w:szCs w:val="19"/>
              </w:rPr>
              <w:t xml:space="preserve">−0.350</w:t>
            </w:r>
          </w:p>
        </w:tc>
      </w:tr>
    </w:tbl>
    <w:p>
      <w:pPr>
        <w:spacing w:after="120" w:before="0"/>
      </w:pPr>
      <w:r>
        <w:rPr>
          <w:color w:val="333333"/>
          <w:sz w:val="21"/>
          <w:szCs w:val="21"/>
        </w:rPr>
        <w:t xml:space="preserve">Over all 463 paired events the mean offset is +0.038 with a standard deviation of 0.291, and the median is exactly 0.00 (p10 −0.30, p25 −0.10, p75 +0.20, p90 +0.40).</w:t>
      </w:r>
    </w:p>
    <w:p>
      <w:pPr>
        <w:spacing w:after="120" w:before="0"/>
      </w:pPr>
      <w:r>
        <w:rPr>
          <w:color w:val="333333"/>
          <w:sz w:val="21"/>
          <w:szCs w:val="21"/>
        </w:rPr>
        <w:t xml:space="preserve">The two scales are not offset by a constant. They have different slopes and cross near M4. At the M4 bin, where the threshold falls, the mean difference across 293 paired events is −0.020, which is one fifth of the catalog’s own 0.1 quantization step.</w:t>
      </w:r>
    </w:p>
    <w:p>
      <w:pPr>
        <w:shd w:fill="E8F4EC" w:color="auto" w:val="clear"/>
        <w:spacing w:after="140"/>
      </w:pPr>
      <w:r>
        <w:rPr>
          <w:b/>
          <w:bCs/>
          <w:color w:val="0E7C86"/>
          <w:sz w:val="21"/>
          <w:szCs w:val="21"/>
        </w:rPr>
        <w:t xml:space="preserve">The mixed-scale composition at M ≥ 4.0 is therefore a documented property rather than an uncontrolled one, and it is benign at the threshold itself.</w:t>
      </w:r>
    </w:p>
    <w:p>
      <w:pPr>
        <w:spacing w:after="100" w:before="220"/>
      </w:pPr>
      <w:r>
        <w:rPr>
          <w:b/>
          <w:bCs/>
          <w:color w:val="0E7C86"/>
          <w:sz w:val="23"/>
          <w:szCs w:val="23"/>
        </w:rPr>
        <w:t xml:space="preserve">Residual scatter, and what follows from it</w:t>
      </w:r>
    </w:p>
    <w:p>
      <w:pPr>
        <w:spacing w:after="120" w:before="0"/>
      </w:pPr>
      <w:r>
        <w:rPr>
          <w:color w:val="333333"/>
          <w:sz w:val="21"/>
          <w:szCs w:val="21"/>
        </w:rPr>
        <w:t xml:space="preserve">The interquartile range of the paired offsets is 0.30, three quantization steps. An individual event near the threshold therefore carries roughly 0.3 of scale-dependent uncertainty in its magnitude, so events recorded at 3.9, 4.0 and 4.1 can cross the boundary depending on which scale measured them.</w:t>
      </w:r>
    </w:p>
    <w:p>
      <w:pPr>
        <w:spacing w:after="120" w:before="0"/>
      </w:pPr>
      <w:r>
        <w:rPr>
          <w:color w:val="333333"/>
          <w:sz w:val="21"/>
          <w:szCs w:val="21"/>
        </w:rPr>
        <w:t xml:space="preserve">At an expected target count in the thousands this changes no conclusion, but it is the specific reason for the sensitivity analysis in section 7.</w:t>
      </w:r>
    </w:p>
    <w:p>
      <w:pPr>
        <w:pBdr>
          <w:bottom w:val="single" w:color="6B2FA8" w:sz="8" w:space="4"/>
        </w:pBdr>
        <w:spacing w:after="160" w:before="320"/>
      </w:pPr>
      <w:r>
        <w:rPr>
          <w:b/>
          <w:bCs/>
          <w:color w:val="6B2FA8"/>
          <w:sz w:val="28"/>
          <w:szCs w:val="28"/>
        </w:rPr>
        <w:t xml:space="preserve">7. Pre-registered sensitivity analysis</w:t>
      </w:r>
    </w:p>
    <w:tbl>
      <w:tblPr>
        <w:tblW w:type="dxa" w:w="10080"/>
        <w:tblBorders>
          <w:top w:val="single" w:color="C9C9C9" w:sz="4"/>
          <w:left w:val="single" w:color="C9C9C9" w:sz="4"/>
          <w:bottom w:val="single" w:color="C9C9C9" w:sz="4"/>
          <w:right w:val="single" w:color="C9C9C9" w:sz="4"/>
          <w:insideH w:val="single" w:color="DADADA" w:sz="2"/>
          <w:insideV w:val="single" w:color="DADADA" w:sz="2"/>
        </w:tblBorders>
      </w:tblPr>
      <w:tblGrid>
        <w:gridCol w:w="806"/>
        <w:gridCol w:w="6250"/>
        <w:gridCol w:w="3024"/>
      </w:tblGrid>
      <w:tr>
        <w:trPr>
          <w:tblHeader/>
        </w:trPr>
        <w:tc>
          <w:tcPr>
            <w:tcW w:type="dxa" w:w="806"/>
            <w:shd w:fill="EDE4F5" w:color="auto" w:val="clear"/>
            <w:tcMar>
              <w:top w:type="dxa" w:w="60"/>
              <w:left w:type="dxa" w:w="100"/>
              <w:bottom w:type="dxa" w:w="60"/>
              <w:right w:type="dxa" w:w="100"/>
            </w:tcMar>
          </w:tcPr>
          <w:p>
            <w:pPr>
              <w:spacing w:after="0"/>
            </w:pPr>
            <w:r>
              <w:rPr>
                <w:b/>
                <w:bCs/>
                <w:color w:val="6B2FA8"/>
                <w:sz w:val="19"/>
                <w:szCs w:val="19"/>
              </w:rPr>
              <w:t xml:space="preserve">ID</w:t>
            </w:r>
          </w:p>
        </w:tc>
        <w:tc>
          <w:tcPr>
            <w:tcW w:type="dxa" w:w="6250"/>
            <w:shd w:fill="EDE4F5" w:color="auto" w:val="clear"/>
            <w:tcMar>
              <w:top w:type="dxa" w:w="60"/>
              <w:left w:type="dxa" w:w="100"/>
              <w:bottom w:type="dxa" w:w="60"/>
              <w:right w:type="dxa" w:w="100"/>
            </w:tcMar>
          </w:tcPr>
          <w:p>
            <w:pPr>
              <w:spacing w:after="0"/>
            </w:pPr>
            <w:r>
              <w:rPr>
                <w:b/>
                <w:bCs/>
                <w:color w:val="6B2FA8"/>
                <w:sz w:val="19"/>
                <w:szCs w:val="19"/>
              </w:rPr>
              <w:t xml:space="preserve">Analysis</w:t>
            </w:r>
          </w:p>
        </w:tc>
        <w:tc>
          <w:tcPr>
            <w:tcW w:type="dxa" w:w="3024"/>
            <w:shd w:fill="EDE4F5" w:color="auto" w:val="clear"/>
            <w:tcMar>
              <w:top w:type="dxa" w:w="60"/>
              <w:left w:type="dxa" w:w="100"/>
              <w:bottom w:type="dxa" w:w="60"/>
              <w:right w:type="dxa" w:w="100"/>
            </w:tcMar>
          </w:tcPr>
          <w:p>
            <w:pPr>
              <w:spacing w:after="0"/>
            </w:pPr>
            <w:r>
              <w:rPr>
                <w:b/>
                <w:bCs/>
                <w:color w:val="6B2FA8"/>
                <w:sz w:val="19"/>
                <w:szCs w:val="19"/>
              </w:rPr>
              <w:t xml:space="preserve">Status</w:t>
            </w:r>
          </w:p>
        </w:tc>
      </w:tr>
      <w:tr>
        <w:tc>
          <w:tcPr>
            <w:tcW w:type="dxa" w:w="806"/>
            <w:shd w:fill="E8F4EC" w:color="auto" w:val="clear"/>
            <w:tcMar>
              <w:top w:type="dxa" w:w="60"/>
              <w:left w:type="dxa" w:w="100"/>
              <w:bottom w:type="dxa" w:w="60"/>
              <w:right w:type="dxa" w:w="100"/>
            </w:tcMar>
          </w:tcPr>
          <w:p>
            <w:pPr>
              <w:spacing w:after="0"/>
            </w:pPr>
            <w:r>
              <w:rPr>
                <w:b w:val="false"/>
                <w:bCs w:val="false"/>
                <w:color w:val="333333"/>
                <w:sz w:val="19"/>
                <w:szCs w:val="19"/>
              </w:rPr>
              <w:t xml:space="preserve">S1</w:t>
            </w:r>
          </w:p>
        </w:tc>
        <w:tc>
          <w:tcPr>
            <w:tcW w:type="dxa" w:w="6250"/>
            <w:shd w:fill="E8F4EC" w:color="auto" w:val="clear"/>
            <w:tcMar>
              <w:top w:type="dxa" w:w="60"/>
              <w:left w:type="dxa" w:w="100"/>
              <w:bottom w:type="dxa" w:w="60"/>
              <w:right w:type="dxa" w:w="100"/>
            </w:tcMar>
          </w:tcPr>
          <w:p>
            <w:pPr>
              <w:spacing w:after="0"/>
            </w:pPr>
            <w:r>
              <w:rPr>
                <w:b w:val="false"/>
                <w:bCs w:val="false"/>
                <w:color w:val="333333"/>
                <w:sz w:val="19"/>
                <w:szCs w:val="19"/>
              </w:rPr>
              <w:t xml:space="preserve">Repeat the full evaluation at M ≥ 4.5, where 82 percent of events carry the displacement scale and the mixed-scale composition is substantially reduced.</w:t>
            </w:r>
          </w:p>
        </w:tc>
        <w:tc>
          <w:tcPr>
            <w:tcW w:type="dxa" w:w="3024"/>
            <w:shd w:fill="E8F4EC" w:color="auto" w:val="clear"/>
            <w:tcMar>
              <w:top w:type="dxa" w:w="60"/>
              <w:left w:type="dxa" w:w="100"/>
              <w:bottom w:type="dxa" w:w="60"/>
              <w:right w:type="dxa" w:w="100"/>
            </w:tcMar>
          </w:tcPr>
          <w:p>
            <w:pPr>
              <w:spacing w:after="0"/>
            </w:pPr>
            <w:r>
              <w:rPr>
                <w:b w:val="false"/>
                <w:bCs w:val="false"/>
                <w:color w:val="333333"/>
                <w:sz w:val="19"/>
                <w:szCs w:val="19"/>
              </w:rPr>
              <w:t xml:space="preserve">Pre-registered 2026-10-19</w:t>
            </w:r>
          </w:p>
        </w:tc>
      </w:tr>
    </w:tbl>
    <w:p>
      <w:pPr>
        <w:spacing w:after="100" w:before="220"/>
      </w:pPr>
      <w:r>
        <w:rPr>
          <w:b/>
          <w:bCs/>
          <w:color w:val="0E7C86"/>
          <w:sz w:val="23"/>
          <w:szCs w:val="23"/>
        </w:rPr>
        <w:t xml:space="preserve">Commitments</w:t>
      </w:r>
    </w:p>
    <w:p>
      <w:pPr>
        <w:pStyle w:val="ListParagraph"/>
        <w:numPr>
          <w:ilvl w:val="0"/>
          <w:numId w:val="2"/>
        </w:numPr>
        <w:spacing w:after="70"/>
      </w:pPr>
      <w:r>
        <w:rPr>
          <w:color w:val="333333"/>
          <w:sz w:val="21"/>
          <w:szCs w:val="21"/>
        </w:rPr>
        <w:t xml:space="preserve">The M ≥ 4.0 result is primary. S1 is a robustness check. Which is primary is fixed here and is not revisited after either result is seen.</w:t>
      </w:r>
    </w:p>
    <w:p>
      <w:pPr>
        <w:pStyle w:val="ListParagraph"/>
        <w:numPr>
          <w:ilvl w:val="0"/>
          <w:numId w:val="2"/>
        </w:numPr>
        <w:spacing w:after="70"/>
      </w:pPr>
      <w:r>
        <w:rPr>
          <w:color w:val="333333"/>
          <w:sz w:val="21"/>
          <w:szCs w:val="21"/>
        </w:rPr>
        <w:t xml:space="preserve">Both results are reported, whatever their direction and whether or not they agree.</w:t>
      </w:r>
    </w:p>
    <w:p>
      <w:pPr>
        <w:pStyle w:val="ListParagraph"/>
        <w:numPr>
          <w:ilvl w:val="0"/>
          <w:numId w:val="2"/>
        </w:numPr>
        <w:spacing w:after="70"/>
      </w:pPr>
      <w:r>
        <w:rPr>
          <w:color w:val="333333"/>
          <w:sz w:val="21"/>
          <w:szCs w:val="21"/>
        </w:rPr>
        <w:t xml:space="preserve">If the two disagree, that disagreement is the finding and is reported as such. It is not grounds for selecting the more favourable threshold.</w:t>
      </w:r>
    </w:p>
    <w:p>
      <w:pPr>
        <w:pStyle w:val="ListParagraph"/>
        <w:numPr>
          <w:ilvl w:val="0"/>
          <w:numId w:val="2"/>
        </w:numPr>
        <w:spacing w:after="70"/>
      </w:pPr>
      <w:r>
        <w:rPr>
          <w:color w:val="333333"/>
          <w:sz w:val="21"/>
          <w:szCs w:val="21"/>
        </w:rPr>
        <w:t xml:space="preserve">No further threshold is added after results are seen. If an additional sensitivity analysis later appears warranted, it is labelled post hoc in the manuscript.</w:t>
      </w:r>
    </w:p>
    <w:p>
      <w:pPr>
        <w:spacing w:after="120" w:before="0"/>
      </w:pPr>
      <w:r>
        <w:rPr>
          <w:color w:val="333333"/>
          <w:sz w:val="21"/>
          <w:szCs w:val="21"/>
        </w:rPr>
        <w:t xml:space="preserve">This section exists because the honest handling of a threshold that sits in a scale transition is to commit to reporting both sides of it before either is computed.</w:t>
      </w:r>
    </w:p>
    <w:p>
      <w:pPr>
        <w:pBdr>
          <w:bottom w:val="single" w:color="6B2FA8" w:sz="8" w:space="4"/>
        </w:pBdr>
        <w:spacing w:after="160" w:before="320"/>
      </w:pPr>
      <w:r>
        <w:rPr>
          <w:b/>
          <w:bCs/>
          <w:color w:val="6B2FA8"/>
          <w:sz w:val="28"/>
          <w:szCs w:val="28"/>
        </w:rPr>
        <w:t xml:space="preserve">8. What this addendum does not decide</w:t>
      </w:r>
    </w:p>
    <w:tbl>
      <w:tblPr>
        <w:tblW w:type="dxa" w:w="10080"/>
        <w:tblBorders>
          <w:top w:val="single" w:color="C9C9C9" w:sz="4"/>
          <w:left w:val="single" w:color="C9C9C9" w:sz="4"/>
          <w:bottom w:val="single" w:color="C9C9C9" w:sz="4"/>
          <w:right w:val="single" w:color="C9C9C9" w:sz="4"/>
          <w:insideH w:val="single" w:color="DADADA" w:sz="2"/>
          <w:insideV w:val="single" w:color="DADADA" w:sz="2"/>
        </w:tblBorders>
      </w:tblPr>
      <w:tblGrid>
        <w:gridCol w:w="2621"/>
        <w:gridCol w:w="7459"/>
      </w:tblGrid>
      <w:tr>
        <w:trPr>
          <w:tblHeader/>
        </w:trPr>
        <w:tc>
          <w:tcPr>
            <w:tcW w:type="dxa" w:w="2621"/>
            <w:shd w:fill="EDE4F5" w:color="auto" w:val="clear"/>
            <w:tcMar>
              <w:top w:type="dxa" w:w="60"/>
              <w:left w:type="dxa" w:w="100"/>
              <w:bottom w:type="dxa" w:w="60"/>
              <w:right w:type="dxa" w:w="100"/>
            </w:tcMar>
          </w:tcPr>
          <w:p>
            <w:pPr>
              <w:spacing w:after="0"/>
            </w:pPr>
            <w:r>
              <w:rPr>
                <w:b/>
                <w:bCs/>
                <w:color w:val="6B2FA8"/>
                <w:sz w:val="19"/>
                <w:szCs w:val="19"/>
              </w:rPr>
              <w:t xml:space="preserve">Item</w:t>
            </w:r>
          </w:p>
        </w:tc>
        <w:tc>
          <w:tcPr>
            <w:tcW w:type="dxa" w:w="7459"/>
            <w:shd w:fill="EDE4F5" w:color="auto" w:val="clear"/>
            <w:tcMar>
              <w:top w:type="dxa" w:w="60"/>
              <w:left w:type="dxa" w:w="100"/>
              <w:bottom w:type="dxa" w:w="60"/>
              <w:right w:type="dxa" w:w="100"/>
            </w:tcMar>
          </w:tcPr>
          <w:p>
            <w:pPr>
              <w:spacing w:after="0"/>
            </w:pPr>
            <w:r>
              <w:rPr>
                <w:b/>
                <w:bCs/>
                <w:color w:val="6B2FA8"/>
                <w:sz w:val="19"/>
                <w:szCs w:val="19"/>
              </w:rPr>
              <w:t xml:space="preserve">Status</w:t>
            </w:r>
          </w:p>
        </w:tc>
      </w:tr>
      <w:tr>
        <w:tc>
          <w:tcPr>
            <w:tcW w:type="dxa" w:w="2621"/>
            <w:tcMar>
              <w:top w:type="dxa" w:w="60"/>
              <w:left w:type="dxa" w:w="100"/>
              <w:bottom w:type="dxa" w:w="60"/>
              <w:right w:type="dxa" w:w="100"/>
            </w:tcMar>
          </w:tcPr>
          <w:p>
            <w:pPr>
              <w:spacing w:after="0"/>
            </w:pPr>
            <w:r>
              <w:rPr>
                <w:b w:val="false"/>
                <w:bCs w:val="false"/>
                <w:color w:val="333333"/>
                <w:sz w:val="19"/>
                <w:szCs w:val="19"/>
              </w:rPr>
              <w:t xml:space="preserve">D8 catalog snapshot</w:t>
            </w:r>
          </w:p>
        </w:tc>
        <w:tc>
          <w:tcPr>
            <w:tcW w:type="dxa" w:w="7459"/>
            <w:tcMar>
              <w:top w:type="dxa" w:w="60"/>
              <w:left w:type="dxa" w:w="100"/>
              <w:bottom w:type="dxa" w:w="60"/>
              <w:right w:type="dxa" w:w="100"/>
            </w:tcMar>
          </w:tcPr>
          <w:p>
            <w:pPr>
              <w:spacing w:after="0"/>
            </w:pPr>
            <w:r>
              <w:rPr>
                <w:b w:val="false"/>
                <w:bCs w:val="false"/>
                <w:color w:val="333333"/>
                <w:sz w:val="19"/>
                <w:szCs w:val="19"/>
              </w:rPr>
              <w:t xml:space="preserve">Open. Access route proven and format verified 2026-10-17. Download, parse, filter, archive with SHA-256 still to do.</w:t>
            </w:r>
          </w:p>
        </w:tc>
      </w:tr>
      <w:tr>
        <w:tc>
          <w:tcPr>
            <w:tcW w:type="dxa" w:w="2621"/>
            <w:shd w:fill="F2F2F2" w:color="auto" w:val="clear"/>
            <w:tcMar>
              <w:top w:type="dxa" w:w="60"/>
              <w:left w:type="dxa" w:w="100"/>
              <w:bottom w:type="dxa" w:w="60"/>
              <w:right w:type="dxa" w:w="100"/>
            </w:tcMar>
          </w:tcPr>
          <w:p>
            <w:pPr>
              <w:spacing w:after="0"/>
            </w:pPr>
            <w:r>
              <w:rPr>
                <w:b w:val="false"/>
                <w:bCs w:val="false"/>
                <w:color w:val="333333"/>
                <w:sz w:val="19"/>
                <w:szCs w:val="19"/>
              </w:rPr>
              <w:t xml:space="preserve">D9 magnitude of completeness</w:t>
            </w:r>
          </w:p>
        </w:tc>
        <w:tc>
          <w:tcPr>
            <w:tcW w:type="dxa" w:w="7459"/>
            <w:shd w:fill="F2F2F2" w:color="auto" w:val="clear"/>
            <w:tcMar>
              <w:top w:type="dxa" w:w="60"/>
              <w:left w:type="dxa" w:w="100"/>
              <w:bottom w:type="dxa" w:w="60"/>
              <w:right w:type="dxa" w:w="100"/>
            </w:tcMar>
          </w:tcPr>
          <w:p>
            <w:pPr>
              <w:spacing w:after="0"/>
            </w:pPr>
            <w:r>
              <w:rPr>
                <w:b w:val="false"/>
                <w:bCs w:val="false"/>
                <w:color w:val="333333"/>
                <w:sz w:val="19"/>
                <w:szCs w:val="19"/>
              </w:rPr>
              <w:t xml:space="preserve">Open. Several estimators, with temporal and spatial variation examined. Note that the scale transition reaches below threshold: 107 of 4,236 events in the M3 bin carry MD, about 2.5 percent, and that contamination should be checked rather than assumed negligible, since b-value feeds the smoothed-seismicity benchmark.</w:t>
            </w:r>
          </w:p>
        </w:tc>
      </w:tr>
      <w:tr>
        <w:tc>
          <w:tcPr>
            <w:tcW w:type="dxa" w:w="2621"/>
            <w:tcMar>
              <w:top w:type="dxa" w:w="60"/>
              <w:left w:type="dxa" w:w="100"/>
              <w:bottom w:type="dxa" w:w="60"/>
              <w:right w:type="dxa" w:w="100"/>
            </w:tcMar>
          </w:tcPr>
          <w:p>
            <w:pPr>
              <w:spacing w:after="0"/>
            </w:pPr>
            <w:r>
              <w:rPr>
                <w:b w:val="false"/>
                <w:bCs w:val="false"/>
                <w:color w:val="333333"/>
                <w:sz w:val="19"/>
                <w:szCs w:val="19"/>
              </w:rPr>
              <w:t xml:space="preserve">D10 target event count</w:t>
            </w:r>
          </w:p>
        </w:tc>
        <w:tc>
          <w:tcPr>
            <w:tcW w:type="dxa" w:w="7459"/>
            <w:tcMar>
              <w:top w:type="dxa" w:w="60"/>
              <w:left w:type="dxa" w:w="100"/>
              <w:bottom w:type="dxa" w:w="60"/>
              <w:right w:type="dxa" w:w="100"/>
            </w:tcMar>
          </w:tcPr>
          <w:p>
            <w:pPr>
              <w:spacing w:after="0"/>
            </w:pPr>
            <w:r>
              <w:rPr>
                <w:b w:val="false"/>
                <w:bCs w:val="false"/>
                <w:color w:val="333333"/>
                <w:sz w:val="19"/>
                <w:szCs w:val="19"/>
              </w:rPr>
              <w:t xml:space="preserve">Open, and the hard gate. Blocked on D9. The 2023 count of 1,176 natural events at M ≥ 4.0 across the whole catalog extent, before region and depth filters, indicates the gate will clear comfortably, but that figure is an upper bound and not the target count.</w:t>
            </w:r>
          </w:p>
        </w:tc>
      </w:tr>
      <w:tr>
        <w:tc>
          <w:tcPr>
            <w:tcW w:type="dxa" w:w="2621"/>
            <w:shd w:fill="F2F2F2" w:color="auto" w:val="clear"/>
            <w:tcMar>
              <w:top w:type="dxa" w:w="60"/>
              <w:left w:type="dxa" w:w="100"/>
              <w:bottom w:type="dxa" w:w="60"/>
              <w:right w:type="dxa" w:w="100"/>
            </w:tcMar>
          </w:tcPr>
          <w:p>
            <w:pPr>
              <w:spacing w:after="0"/>
            </w:pPr>
            <w:r>
              <w:rPr>
                <w:b w:val="false"/>
                <w:bCs w:val="false"/>
                <w:color w:val="333333"/>
                <w:sz w:val="19"/>
                <w:szCs w:val="19"/>
              </w:rPr>
              <w:t xml:space="preserve">D16 station subset rule</w:t>
            </w:r>
          </w:p>
        </w:tc>
        <w:tc>
          <w:tcPr>
            <w:tcW w:type="dxa" w:w="7459"/>
            <w:shd w:fill="F2F2F2" w:color="auto" w:val="clear"/>
            <w:tcMar>
              <w:top w:type="dxa" w:w="60"/>
              <w:left w:type="dxa" w:w="100"/>
              <w:bottom w:type="dxa" w:w="60"/>
              <w:right w:type="dxa" w:w="100"/>
            </w:tcMar>
          </w:tcPr>
          <w:p>
            <w:pPr>
              <w:spacing w:after="0"/>
            </w:pPr>
            <w:r>
              <w:rPr>
                <w:b w:val="false"/>
                <w:bCs w:val="false"/>
                <w:color w:val="333333"/>
                <w:sz w:val="19"/>
                <w:szCs w:val="19"/>
              </w:rPr>
              <w:t xml:space="preserve">Open. Geography resolved: 1,313 of 1,322 GEONET stations fall inside the region.</w:t>
            </w:r>
          </w:p>
        </w:tc>
      </w:tr>
      <w:tr>
        <w:tc>
          <w:tcPr>
            <w:tcW w:type="dxa" w:w="2621"/>
            <w:tcMar>
              <w:top w:type="dxa" w:w="60"/>
              <w:left w:type="dxa" w:w="100"/>
              <w:bottom w:type="dxa" w:w="60"/>
              <w:right w:type="dxa" w:w="100"/>
            </w:tcMar>
          </w:tcPr>
          <w:p>
            <w:pPr>
              <w:spacing w:after="0"/>
            </w:pPr>
            <w:r>
              <w:rPr>
                <w:b w:val="false"/>
                <w:bCs w:val="false"/>
                <w:color w:val="333333"/>
                <w:sz w:val="19"/>
                <w:szCs w:val="19"/>
              </w:rPr>
              <w:t xml:space="preserve">D11, D17, D18</w:t>
            </w:r>
          </w:p>
        </w:tc>
        <w:tc>
          <w:tcPr>
            <w:tcW w:type="dxa" w:w="7459"/>
            <w:tcMar>
              <w:top w:type="dxa" w:w="60"/>
              <w:left w:type="dxa" w:w="100"/>
              <w:bottom w:type="dxa" w:w="60"/>
              <w:right w:type="dxa" w:w="100"/>
            </w:tcMar>
          </w:tcPr>
          <w:p>
            <w:pPr>
              <w:spacing w:after="0"/>
            </w:pPr>
            <w:r>
              <w:rPr>
                <w:b w:val="false"/>
                <w:bCs w:val="false"/>
                <w:color w:val="333333"/>
                <w:sz w:val="19"/>
                <w:szCs w:val="19"/>
              </w:rPr>
              <w:t xml:space="preserve">Open. Zenodo DOI and v0.1.0 tag; GCS bucket and retrieval pacing for the RINEX archive; GEONET DOI for the data availability statement.</w:t>
            </w:r>
          </w:p>
        </w:tc>
      </w:tr>
    </w:tbl>
    <w:p>
      <w:pPr>
        <w:spacing w:after="120" w:before="0"/>
      </w:pPr>
      <w:r>
        <w:rPr>
          <w:color w:val="333333"/>
          <w:sz w:val="21"/>
          <w:szCs w:val="21"/>
        </w:rPr>
        <w:t xml:space="preserve">Step 01 locks when D8, D9 and D10 close. Nothing else in Block 1 is waiting on anything but those three.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2026-10-19T21:36:56.621Z</dcterms:created>
  <dcterms:modified xsi:type="dcterms:W3CDTF">2026-10-19T21:36:56.631Z</dcterms:modified>
</cp:coreProperties>
</file>

<file path=docProps/custom.xml><?xml version="1.0" encoding="utf-8"?>
<Properties xmlns="http://schemas.openxmlformats.org/officeDocument/2006/custom-properties" xmlns:vt="http://schemas.openxmlformats.org/officeDocument/2006/docPropsVTypes"/>
</file>