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40"/>
          <w:szCs w:val="40"/>
        </w:rPr>
        <w:t xml:space="preserve">PROJECT SENTINEL</w:t>
      </w:r>
    </w:p>
    <w:p>
      <w:pPr>
        <w:spacing w:after="80" w:before="0"/>
        <w:jc w:val="center"/>
      </w:pPr>
      <w:r>
        <w:rPr>
          <w:rFonts w:ascii="Arial" w:cs="Arial" w:eastAsia="Arial" w:hAnsi="Arial"/>
          <w:b/>
          <w:bCs/>
          <w:color w:val="2E75B6"/>
          <w:sz w:val="30"/>
          <w:szCs w:val="30"/>
        </w:rPr>
        <w:t xml:space="preserve">Pre-Registration Amendment #2</w:t>
      </w:r>
    </w:p>
    <w:p>
      <w:pPr>
        <w:spacing w:after="80" w:before="0"/>
        <w:jc w:val="center"/>
      </w:pPr>
      <w:r>
        <w:rPr>
          <w:rFonts w:ascii="Arial" w:cs="Arial" w:eastAsia="Arial" w:hAnsi="Arial"/>
          <w:color w:val="1A1A1A"/>
          <w:sz w:val="26"/>
          <w:szCs w:val="26"/>
        </w:rPr>
        <w:t xml:space="preserve">Human Anomalous Cognition (HAC) Stream — Analysis Protocol</w:t>
      </w:r>
    </w:p>
    <w:p>
      <w:pPr>
        <w:spacing w:after="400" w:before="0"/>
        <w:jc w:val="center"/>
      </w:pPr>
      <w:r>
        <w:rPr>
          <w:rFonts w:ascii="Arial" w:cs="Arial" w:eastAsia="Arial" w:hAnsi="Arial"/>
          <w:color w:val="666666"/>
          <w:sz w:val="22"/>
          <w:szCs w:val="22"/>
        </w:rPr>
        <w:t xml:space="preserve">The Synexis Project  |  April 2026</w:t>
      </w:r>
    </w:p>
    <w:p>
      <w:pPr>
        <w:pStyle w:val="Heading1"/>
        <w:pBdr>
          <w:bottom w:val="single" w:color="2E75B6" w:sz="6" w:space="4"/>
        </w:pBdr>
        <w:spacing w:after="120" w:before="360"/>
      </w:pPr>
      <w:r>
        <w:rPr>
          <w:rFonts w:ascii="Arial" w:cs="Arial" w:eastAsia="Arial" w:hAnsi="Arial"/>
          <w:b/>
          <w:bCs/>
          <w:color w:val="1F4E79"/>
          <w:sz w:val="28"/>
          <w:szCs w:val="28"/>
        </w:rPr>
        <w:t xml:space="preserve">Amendment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Amendment Number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Amendment #2 to Project Sentinel Pre-Registration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Issuing Organization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Synexis Project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Principal Investigator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JT (Synexis Project Founder)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Date of Amendment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Pre-registered prior to data analysis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Prior Amendments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Amendment #1: Walk-forward validation and magnitude threshold stratification (H1-WF)</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Introduces the Human Anomalous Cognition (HAC) stream analysis protocol, corpus tiering structure, data sources, inclusion criteria, analysis methods, and outcome definitions for the HAC hypothesis test.</w:t>
            </w:r>
          </w:p>
        </w:tc>
      </w:tr>
    </w:tbl>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Rationale for Amendment</w:t>
      </w:r>
    </w:p>
    <w:p>
      <w:pPr>
        <w:spacing w:after="100" w:before="60"/>
      </w:pPr>
      <w:r>
        <w:rPr>
          <w:rFonts w:ascii="Arial" w:cs="Arial" w:eastAsia="Arial" w:hAnsi="Arial"/>
          <w:color w:val="1A1A1A"/>
          <w:sz w:val="22"/>
          <w:szCs w:val="22"/>
        </w:rPr>
        <w:t xml:space="preserve">The original Project Sentinel pre-registration defined the HAC stream as a hypothesis stream to be developed, but deferred specification of the analysis protocol pending corpus acquisition and pipeline development. This amendment formalizes the HAC analysis protocol in full detail prior to any statistical analysis being conducted against the earthquake event catalog.</w:t>
      </w:r>
    </w:p>
    <w:p>
      <w:pPr>
        <w:spacing w:after="60" w:before="0"/>
      </w:pPr>
      <w:r>
        <w:t xml:space="preserve"/>
      </w:r>
    </w:p>
    <w:p>
      <w:pPr>
        <w:spacing w:after="100" w:before="60"/>
      </w:pPr>
      <w:r>
        <w:rPr>
          <w:rFonts w:ascii="Arial" w:cs="Arial" w:eastAsia="Arial" w:hAnsi="Arial"/>
          <w:color w:val="1A1A1A"/>
          <w:sz w:val="22"/>
          <w:szCs w:val="22"/>
        </w:rPr>
        <w:t xml:space="preserve">The HAC pipeline has been built and deployed on Google Cloud Platform (GCP), with the following milestones completed prior to this amendment:</w:t>
      </w:r>
    </w:p>
    <w:p>
      <w:pPr>
        <w:pStyle w:val="ListParagraph"/>
        <w:numPr>
          <w:ilvl w:val="0"/>
          <w:numId w:val="2"/>
        </w:numPr>
        <w:spacing w:after="40" w:before="40"/>
      </w:pPr>
      <w:r>
        <w:rPr>
          <w:rFonts w:ascii="Arial" w:cs="Arial" w:eastAsia="Arial" w:hAnsi="Arial"/>
          <w:color w:val="1A1A1A"/>
          <w:sz w:val="22"/>
          <w:szCs w:val="22"/>
        </w:rPr>
        <w:t xml:space="preserve">Reddit r/Dreams archive (2.6M rows, Center for Organizational Dreaming) imported, filtered, enriched, and staged in hac_intake.hac_normalized</w:t>
      </w:r>
    </w:p>
    <w:p>
      <w:pPr>
        <w:pStyle w:val="ListParagraph"/>
        <w:numPr>
          <w:ilvl w:val="0"/>
          <w:numId w:val="2"/>
        </w:numPr>
        <w:spacing w:after="40" w:before="40"/>
      </w:pPr>
      <w:r>
        <w:rPr>
          <w:rFonts w:ascii="Arial" w:cs="Arial" w:eastAsia="Arial" w:hAnsi="Arial"/>
          <w:color w:val="1A1A1A"/>
          <w:sz w:val="22"/>
          <w:szCs w:val="22"/>
        </w:rPr>
        <w:t xml:space="preserve">LLM enrichment pipeline deployed on Cloud Run with nightly processing of archive chunks</w:t>
      </w:r>
    </w:p>
    <w:p>
      <w:pPr>
        <w:pStyle w:val="ListParagraph"/>
        <w:numPr>
          <w:ilvl w:val="0"/>
          <w:numId w:val="2"/>
        </w:numPr>
        <w:spacing w:after="40" w:before="40"/>
      </w:pPr>
      <w:r>
        <w:rPr>
          <w:rFonts w:ascii="Arial" w:cs="Arial" w:eastAsia="Arial" w:hAnsi="Arial"/>
          <w:color w:val="1A1A1A"/>
          <w:sz w:val="22"/>
          <w:szCs w:val="22"/>
        </w:rPr>
        <w:t xml:space="preserve">12,924 records flagged as geophysical and staged as fusion_ready as of amendment date</w:t>
      </w:r>
    </w:p>
    <w:p>
      <w:pPr>
        <w:pStyle w:val="ListParagraph"/>
        <w:numPr>
          <w:ilvl w:val="0"/>
          <w:numId w:val="2"/>
        </w:numPr>
        <w:spacing w:after="40" w:before="40"/>
      </w:pPr>
      <w:r>
        <w:rPr>
          <w:rFonts w:ascii="Arial" w:cs="Arial" w:eastAsia="Arial" w:hAnsi="Arial"/>
          <w:color w:val="1A1A1A"/>
          <w:sz w:val="22"/>
          <w:szCs w:val="22"/>
        </w:rPr>
        <w:t xml:space="preserve">Public-facing HAC intake webform live for prospective submissions</w:t>
      </w:r>
    </w:p>
    <w:p>
      <w:pPr>
        <w:pStyle w:val="ListParagraph"/>
        <w:numPr>
          <w:ilvl w:val="0"/>
          <w:numId w:val="2"/>
        </w:numPr>
        <w:spacing w:after="40" w:before="40"/>
      </w:pPr>
      <w:r>
        <w:rPr>
          <w:rFonts w:ascii="Arial" w:cs="Arial" w:eastAsia="Arial" w:hAnsi="Arial"/>
          <w:color w:val="1A1A1A"/>
          <w:sz w:val="22"/>
          <w:szCs w:val="22"/>
        </w:rPr>
        <w:t xml:space="preserve">SDDb (Sleep and Dream Database, Kelly Bulkeley) full database export received — 44,556 records, not yet imported</w:t>
      </w:r>
    </w:p>
    <w:p>
      <w:pPr>
        <w:pStyle w:val="ListParagraph"/>
        <w:numPr>
          <w:ilvl w:val="0"/>
          <w:numId w:val="2"/>
        </w:numPr>
        <w:spacing w:after="40" w:before="40"/>
      </w:pPr>
      <w:r>
        <w:rPr>
          <w:rFonts w:ascii="Arial" w:cs="Arial" w:eastAsia="Arial" w:hAnsi="Arial"/>
          <w:color w:val="1A1A1A"/>
          <w:sz w:val="22"/>
          <w:szCs w:val="22"/>
        </w:rPr>
        <w:t xml:space="preserve">NEXA precognition dataset (manually curated by PI, 310 records) received — not yet imported</w:t>
      </w:r>
    </w:p>
    <w:p>
      <w:pPr>
        <w:spacing w:after="60" w:before="0"/>
      </w:pPr>
      <w:r>
        <w:t xml:space="preserve"/>
      </w:r>
    </w:p>
    <w:p>
      <w:pPr>
        <w:spacing w:after="100" w:before="60"/>
      </w:pPr>
      <w:r>
        <w:rPr>
          <w:rFonts w:ascii="Arial" w:cs="Arial" w:eastAsia="Arial" w:hAnsi="Arial"/>
          <w:color w:val="1A1A1A"/>
          <w:sz w:val="22"/>
          <w:szCs w:val="22"/>
        </w:rPr>
        <w:t xml:space="preserve">No statistical analysis has been conducted against the earthquake event catalog at the time of this amendment. The amendment is filed prior to any such analysis.</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Corpus Architecture — Tiered Structure</w:t>
      </w:r>
    </w:p>
    <w:p>
      <w:pPr>
        <w:spacing w:after="100" w:before="60"/>
      </w:pPr>
      <w:r>
        <w:rPr>
          <w:rFonts w:ascii="Arial" w:cs="Arial" w:eastAsia="Arial" w:hAnsi="Arial"/>
          <w:color w:val="1A1A1A"/>
          <w:sz w:val="22"/>
          <w:szCs w:val="22"/>
        </w:rPr>
        <w:t xml:space="preserve">The HAC corpus is organized into three tiers reflecting data quality, curation level, and analytical purpose. This tiered structure is pre-specified and all tier-level analyses are registered here prior to execution.</w:t>
      </w:r>
    </w:p>
    <w:p>
      <w:pPr>
        <w:spacing w:after="60" w:before="0"/>
      </w:pPr>
      <w:r>
        <w:t xml:space="preserve"/>
      </w:r>
    </w:p>
    <w:p>
      <w:pPr>
        <w:pStyle w:val="Heading2"/>
        <w:spacing w:after="80" w:before="240"/>
      </w:pPr>
      <w:r>
        <w:rPr>
          <w:rFonts w:ascii="Arial" w:cs="Arial" w:eastAsia="Arial" w:hAnsi="Arial"/>
          <w:b/>
          <w:bCs/>
          <w:color w:val="1F4E79"/>
          <w:sz w:val="24"/>
          <w:szCs w:val="24"/>
        </w:rPr>
        <w:t xml:space="preserve">Tier 1 — Exploratory Corpus (Primary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Sources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Reddit r/Dreams archive (Center for Organizational Dreaming) + Sleep and Dream Database (SDDb, Kelly Bulkeley)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 records (estimated)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~47,000 raw records; ~2,450 geophysical after filtering (SDDb); ~12,924 geophysical already staged (Reddit)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Curation level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Automated — geophysical keyword filter + LLM enrichment pipeline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Confirmed precognitive hits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no event verification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Location data</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Minimal — &lt;0.1% of Reddit records have referred coordinates; SDDb has no location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Dream reports only (both sources are dream journals/databases)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Analysis type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Time-series: daily HAC count z-score per fault zone vs. earthquake event windows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Pre-specified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analysis — hypothesis test for HAC stream</w:t>
            </w:r>
          </w:p>
        </w:tc>
      </w:tr>
    </w:tbl>
    <w:p>
      <w:pPr>
        <w:spacing w:after="60" w:before="0"/>
      </w:pPr>
      <w:r>
        <w:t xml:space="preserve"/>
      </w:r>
    </w:p>
    <w:p>
      <w:pPr>
        <w:pStyle w:val="Heading2"/>
        <w:spacing w:after="80" w:before="240"/>
      </w:pPr>
      <w:r>
        <w:rPr>
          <w:rFonts w:ascii="Arial" w:cs="Arial" w:eastAsia="Arial" w:hAnsi="Arial"/>
          <w:b/>
          <w:bCs/>
          <w:color w:val="1F4E79"/>
          <w:sz w:val="24"/>
          <w:szCs w:val="24"/>
        </w:rPr>
        <w:t xml:space="preserve">Tier 2 — High-Confidence Corpus (Secondary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NEXA precognition dataset (manually curated by 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 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310 records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Curation level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 — manually reviewed by PI; includes both dream and waking precognitive experiences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Confirmed precognitive hits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QC_reported_hit field: 131 flagged as apparent hits (liberal screening, not independently verified — treated as quality stratum, not ground truth)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Location data</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 of records have location data at country/city level; 39 records have extracted_event_date_approx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Dream (93 records) and waking precognitive experiences (235 records + 18 unclassified); modality field preserved throughout pipeline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Analysis type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Dual: (1) time-series analysis matching Tier 1 method; (2) direct match analysis using extracted_event_date_approx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Pre-specified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analysis — independent replication and spatiotemporal extension of Tier 1</w:t>
            </w:r>
          </w:p>
        </w:tc>
      </w:tr>
    </w:tbl>
    <w:p>
      <w:pPr>
        <w:spacing w:after="60" w:before="0"/>
      </w:pPr>
      <w:r>
        <w:t xml:space="preserve"/>
      </w:r>
    </w:p>
    <w:p>
      <w:pPr>
        <w:pStyle w:val="Heading2"/>
        <w:spacing w:after="80" w:before="240"/>
      </w:pPr>
      <w:r>
        <w:rPr>
          <w:rFonts w:ascii="Arial" w:cs="Arial" w:eastAsia="Arial" w:hAnsi="Arial"/>
          <w:b/>
          <w:bCs/>
          <w:color w:val="1F4E79"/>
          <w:sz w:val="24"/>
          <w:szCs w:val="24"/>
        </w:rPr>
        <w:t xml:space="preserve">Tier 3 — Combined Corpus (Exploratory 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Sources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three sources combined: Reddit + SDDb + NEXA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Deduplication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Fuzzy narrative hash check at SDDb and NEXA import time; duplicates flagged and excluded; exclusion count reported in methods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Source provenance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source_type field preserved on all records throughout pipeline (archive_reddit, archive_sddb, archive_nexa, direct_form)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Modality field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modality field: dream, waking, or unknown — sourced from LLM classification for Reddit/SDDb; from QC_precog_modality for NEXA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Analysis type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Combined time-series analysis with source_type and modality as covariates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Pre-specified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Exploratory — hypothesis-generating, not hypothesis-confirming</w:t>
            </w:r>
          </w:p>
        </w:tc>
      </w:tr>
    </w:tbl>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Inclusion and Exclusion Criteria</w:t>
      </w:r>
    </w:p>
    <w:p>
      <w:pPr>
        <w:pStyle w:val="Heading2"/>
        <w:spacing w:after="80" w:before="240"/>
      </w:pPr>
      <w:r>
        <w:rPr>
          <w:rFonts w:ascii="Arial" w:cs="Arial" w:eastAsia="Arial" w:hAnsi="Arial"/>
          <w:b/>
          <w:bCs/>
          <w:color w:val="1F4E79"/>
          <w:sz w:val="24"/>
          <w:szCs w:val="24"/>
        </w:rPr>
        <w:t xml:space="preserve">Inclusion Criteria (all sources)</w:t>
      </w:r>
    </w:p>
    <w:p>
      <w:pPr>
        <w:pStyle w:val="ListParagraph"/>
        <w:numPr>
          <w:ilvl w:val="0"/>
          <w:numId w:val="2"/>
        </w:numPr>
        <w:spacing w:after="40" w:before="40"/>
      </w:pPr>
      <w:r>
        <w:rPr>
          <w:rFonts w:ascii="Arial" w:cs="Arial" w:eastAsia="Arial" w:hAnsi="Arial"/>
          <w:color w:val="1A1A1A"/>
          <w:sz w:val="22"/>
          <w:szCs w:val="22"/>
        </w:rPr>
        <w:t xml:space="preserve">is_geophysical = TRUE as determined by LLM enrichment pipeline</w:t>
      </w:r>
    </w:p>
    <w:p>
      <w:pPr>
        <w:pStyle w:val="ListParagraph"/>
        <w:numPr>
          <w:ilvl w:val="0"/>
          <w:numId w:val="2"/>
        </w:numPr>
        <w:spacing w:after="40" w:before="40"/>
      </w:pPr>
      <w:r>
        <w:rPr>
          <w:rFonts w:ascii="Arial" w:cs="Arial" w:eastAsia="Arial" w:hAnsi="Arial"/>
          <w:color w:val="1A1A1A"/>
          <w:sz w:val="22"/>
          <w:szCs w:val="22"/>
        </w:rPr>
        <w:t xml:space="preserve">experience_date between 2010-01-01 and 2026-12-31 inclusive</w:t>
      </w:r>
    </w:p>
    <w:p>
      <w:pPr>
        <w:pStyle w:val="ListParagraph"/>
        <w:numPr>
          <w:ilvl w:val="0"/>
          <w:numId w:val="2"/>
        </w:numPr>
        <w:spacing w:after="40" w:before="40"/>
      </w:pPr>
      <w:r>
        <w:rPr>
          <w:rFonts w:ascii="Arial" w:cs="Arial" w:eastAsia="Arial" w:hAnsi="Arial"/>
          <w:color w:val="1A1A1A"/>
          <w:sz w:val="22"/>
          <w:szCs w:val="22"/>
        </w:rPr>
        <w:t xml:space="preserve">narrative_text IS NOT NULL and LENGTH(narrative_text) &gt; 10 characters</w:t>
      </w:r>
    </w:p>
    <w:p>
      <w:pPr>
        <w:pStyle w:val="ListParagraph"/>
        <w:numPr>
          <w:ilvl w:val="0"/>
          <w:numId w:val="2"/>
        </w:numPr>
        <w:spacing w:after="40" w:before="40"/>
      </w:pPr>
      <w:r>
        <w:rPr>
          <w:rFonts w:ascii="Arial" w:cs="Arial" w:eastAsia="Arial" w:hAnsi="Arial"/>
          <w:color w:val="1A1A1A"/>
          <w:sz w:val="22"/>
          <w:szCs w:val="22"/>
        </w:rPr>
        <w:t xml:space="preserve">normalized_status IN ('enriched', 'fusion_ready')</w:t>
      </w:r>
    </w:p>
    <w:p>
      <w:pPr>
        <w:spacing w:after="60" w:before="0"/>
      </w:pPr>
      <w:r>
        <w:t xml:space="preserve"/>
      </w:r>
    </w:p>
    <w:p>
      <w:pPr>
        <w:pStyle w:val="Heading2"/>
        <w:spacing w:after="80" w:before="240"/>
      </w:pPr>
      <w:r>
        <w:rPr>
          <w:rFonts w:ascii="Arial" w:cs="Arial" w:eastAsia="Arial" w:hAnsi="Arial"/>
          <w:b/>
          <w:bCs/>
          <w:color w:val="1F4E79"/>
          <w:sz w:val="24"/>
          <w:szCs w:val="24"/>
        </w:rPr>
        <w:t xml:space="preserve">Additional Inclusion Criteria — NEXA only</w:t>
      </w:r>
    </w:p>
    <w:p>
      <w:pPr>
        <w:pStyle w:val="ListParagraph"/>
        <w:numPr>
          <w:ilvl w:val="0"/>
          <w:numId w:val="2"/>
        </w:numPr>
        <w:spacing w:after="40" w:before="40"/>
      </w:pPr>
      <w:r>
        <w:rPr>
          <w:rFonts w:ascii="Arial" w:cs="Arial" w:eastAsia="Arial" w:hAnsi="Arial"/>
          <w:color w:val="1A1A1A"/>
          <w:sz w:val="22"/>
          <w:szCs w:val="22"/>
        </w:rPr>
        <w:t xml:space="preserve">All 310 manually curated records included regardless of geophysical flag — NEXA is a pre-filtered precognition dataset; the geophysical filter is applied as a secondary classification rather than an exclusion gate</w:t>
      </w:r>
    </w:p>
    <w:p>
      <w:pPr>
        <w:pStyle w:val="ListParagraph"/>
        <w:numPr>
          <w:ilvl w:val="0"/>
          <w:numId w:val="2"/>
        </w:numPr>
        <w:spacing w:after="40" w:before="40"/>
      </w:pPr>
      <w:r>
        <w:rPr>
          <w:rFonts w:ascii="Arial" w:cs="Arial" w:eastAsia="Arial" w:hAnsi="Arial"/>
          <w:color w:val="1A1A1A"/>
          <w:sz w:val="22"/>
          <w:szCs w:val="22"/>
        </w:rPr>
        <w:t xml:space="preserve">Waking precognitive experiences included alongside dream reports; modality field distinguishes them</w:t>
      </w:r>
    </w:p>
    <w:p>
      <w:pPr>
        <w:spacing w:after="60" w:before="0"/>
      </w:pPr>
      <w:r>
        <w:t xml:space="preserve"/>
      </w:r>
    </w:p>
    <w:p>
      <w:pPr>
        <w:pStyle w:val="Heading2"/>
        <w:spacing w:after="80" w:before="240"/>
      </w:pPr>
      <w:r>
        <w:rPr>
          <w:rFonts w:ascii="Arial" w:cs="Arial" w:eastAsia="Arial" w:hAnsi="Arial"/>
          <w:b/>
          <w:bCs/>
          <w:color w:val="1F4E79"/>
          <w:sz w:val="24"/>
          <w:szCs w:val="24"/>
        </w:rPr>
        <w:t xml:space="preserve">Exclusion Criteria</w:t>
      </w:r>
    </w:p>
    <w:p>
      <w:pPr>
        <w:pStyle w:val="ListParagraph"/>
        <w:numPr>
          <w:ilvl w:val="0"/>
          <w:numId w:val="2"/>
        </w:numPr>
        <w:spacing w:after="40" w:before="40"/>
      </w:pPr>
      <w:r>
        <w:rPr>
          <w:rFonts w:ascii="Arial" w:cs="Arial" w:eastAsia="Arial" w:hAnsi="Arial"/>
          <w:color w:val="1A1A1A"/>
          <w:sz w:val="22"/>
          <w:szCs w:val="22"/>
        </w:rPr>
        <w:t xml:space="preserve">Duplicate records identified by fuzzy narrative hash match across corpora — excluded with count reported</w:t>
      </w:r>
    </w:p>
    <w:p>
      <w:pPr>
        <w:pStyle w:val="ListParagraph"/>
        <w:numPr>
          <w:ilvl w:val="0"/>
          <w:numId w:val="2"/>
        </w:numPr>
        <w:spacing w:after="40" w:before="40"/>
      </w:pPr>
      <w:r>
        <w:rPr>
          <w:rFonts w:ascii="Arial" w:cs="Arial" w:eastAsia="Arial" w:hAnsi="Arial"/>
          <w:color w:val="1A1A1A"/>
          <w:sz w:val="22"/>
          <w:szCs w:val="22"/>
        </w:rPr>
        <w:t xml:space="preserve">Records with experience_date outside 2010–2026 window</w:t>
      </w:r>
    </w:p>
    <w:p>
      <w:pPr>
        <w:pStyle w:val="ListParagraph"/>
        <w:numPr>
          <w:ilvl w:val="0"/>
          <w:numId w:val="2"/>
        </w:numPr>
        <w:spacing w:after="40" w:before="40"/>
      </w:pPr>
      <w:r>
        <w:rPr>
          <w:rFonts w:ascii="Arial" w:cs="Arial" w:eastAsia="Arial" w:hAnsi="Arial"/>
          <w:color w:val="1A1A1A"/>
          <w:sz w:val="22"/>
          <w:szCs w:val="22"/>
        </w:rPr>
        <w:t xml:space="preserve">Records where narrative_text is NULL, empty, or under 10 characters</w:t>
      </w:r>
    </w:p>
    <w:p>
      <w:pPr>
        <w:pStyle w:val="ListParagraph"/>
        <w:numPr>
          <w:ilvl w:val="0"/>
          <w:numId w:val="2"/>
        </w:numPr>
        <w:spacing w:after="40" w:before="40"/>
      </w:pPr>
      <w:r>
        <w:rPr>
          <w:rFonts w:ascii="Arial" w:cs="Arial" w:eastAsia="Arial" w:hAnsi="Arial"/>
          <w:color w:val="1A1A1A"/>
          <w:sz w:val="22"/>
          <w:szCs w:val="22"/>
        </w:rPr>
        <w:t xml:space="preserve">Direct form submissions (source_type = direct_form) are included in Tier 1 and Tier 3 but reported separately; they are not pooled with archive records in the primary analysis until a sufficient volume accumulates (pre-specified threshold: n &gt;= 100 direct_form geophysical records)</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Earthquake Event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USGS earthquake catalog as loaded in sentinel_groundtruth.master_earthquakes (GCP BigQuery, project: synexis-project-sentinel)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Magnitude threshold — primary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 &gt;= 6.0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Magnitude threshold — secondary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 &gt;= 7.0 (pre-specified secondary analysis)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Depth filter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all depths included in primary analysis; shallow events (depth &lt;= 70 km) as pre-specified secondary stratum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 range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2010-01-01 through 2026-12-31, matching HAC corpus range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Spatial 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Five fault zones as defined in sentinel_features.fault_systems (see table below)</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Tsunami flag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tsunami field used as secondary stratum — tsunami-associated events analyzed separately given dominance of water/tsunami imagery in HAC corpus</w:t>
            </w:r>
          </w:p>
        </w:tc>
      </w:tr>
    </w:tbl>
    <w:p>
      <w:pPr>
        <w:spacing w:after="60" w:before="0"/>
      </w:pPr>
      <w:r>
        <w:t xml:space="preserve"/>
      </w:r>
    </w:p>
    <w:p>
      <w:pPr>
        <w:pStyle w:val="Heading2"/>
        <w:spacing w:after="80" w:before="240"/>
      </w:pPr>
      <w:r>
        <w:rPr>
          <w:rFonts w:ascii="Arial" w:cs="Arial" w:eastAsia="Arial" w:hAnsi="Arial"/>
          <w:b/>
          <w:bCs/>
          <w:color w:val="1F4E79"/>
          <w:sz w:val="24"/>
          <w:szCs w:val="24"/>
        </w:rPr>
        <w:t xml:space="preserve">Fault Zone Definitions</w:t>
      </w:r>
    </w:p>
    <w:p>
      <w:pPr>
        <w:spacing w:after="100" w:before="60"/>
      </w:pPr>
      <w:r>
        <w:rPr>
          <w:rFonts w:ascii="Arial" w:cs="Arial" w:eastAsia="Arial" w:hAnsi="Arial"/>
          <w:color w:val="1A1A1A"/>
          <w:sz w:val="22"/>
          <w:szCs w:val="22"/>
        </w:rPr>
        <w:t xml:space="preserve">The following five fault zones are used for spatial assignment, as pre-defined in sentinel_features.fault_systems: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800"/>
        <w:gridCol w:w="800"/>
        <w:gridCol w:w="800"/>
        <w:gridCol w:w="800"/>
        <w:gridCol w:w="1160"/>
      </w:tblGrid>
      <w:tr>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Fault ID</w:t>
            </w:r>
          </w:p>
        </w:tc>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Fault Name</w:t>
            </w:r>
          </w:p>
        </w:tc>
        <w:tc>
          <w:tcPr>
            <w:tcW w:type="dxa" w:w="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Lat Min</w:t>
            </w:r>
          </w:p>
        </w:tc>
        <w:tc>
          <w:tcPr>
            <w:tcW w:type="dxa" w:w="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Lat Max</w:t>
            </w:r>
          </w:p>
        </w:tc>
        <w:tc>
          <w:tcPr>
            <w:tcW w:type="dxa" w:w="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Lon Min</w:t>
            </w:r>
          </w:p>
        </w:tc>
        <w:tc>
          <w:tcPr>
            <w:tcW w:type="dxa" w:w="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Lon Max</w:t>
            </w:r>
          </w:p>
        </w:tc>
        <w:tc>
          <w:tcPr>
            <w:tcW w:type="dxa" w:w="1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sz w:val="18"/>
                <w:szCs w:val="18"/>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cascadia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Cascadia Subduction Zone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-125.0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-110.0</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Primary</w:t>
            </w:r>
          </w:p>
        </w:tc>
      </w:tr>
      <w:tr>
        <w:tc>
          <w:tcPr>
            <w:tcW w:type="dxa" w:w="1800"/>
            <w:tcBorders>
              <w:top w:val="single" w:color="CCCCCC" w:sz="1"/>
              <w:left w:val="single" w:color="CCCCCC" w:sz="1"/>
              <w:bottom w:val="single" w:color="CCCCCC" w:sz="1"/>
              <w:right w:val="single" w:color="CCCCCC" w:sz="1"/>
            </w:tcBorders>
            <w:shd w:fill="F5F9FD" w:val="clear"/>
            <w:tcMar>
              <w:top w:type="dxa" w:w="60"/>
              <w:left w:type="dxa" w:w="100"/>
              <w:bottom w:type="dxa" w:w="60"/>
              <w:right w:type="dxa" w:w="100"/>
            </w:tcMar>
          </w:tcPr>
          <w:p>
            <w:r>
              <w:rPr>
                <w:rFonts w:ascii="Arial" w:cs="Arial" w:eastAsia="Arial" w:hAnsi="Arial"/>
                <w:sz w:val="18"/>
                <w:szCs w:val="18"/>
              </w:rPr>
              <w:t xml:space="preserve">japan_trench</w:t>
            </w:r>
          </w:p>
        </w:tc>
        <w:tc>
          <w:tcPr>
            <w:tcW w:type="dxa" w:w="2200"/>
            <w:tcBorders>
              <w:top w:val="single" w:color="CCCCCC" w:sz="1"/>
              <w:left w:val="single" w:color="CCCCCC" w:sz="1"/>
              <w:bottom w:val="single" w:color="CCCCCC" w:sz="1"/>
              <w:right w:val="single" w:color="CCCCCC" w:sz="1"/>
            </w:tcBorders>
            <w:shd w:fill="F5F9FD" w:val="clear"/>
            <w:tcMar>
              <w:top w:type="dxa" w:w="60"/>
              <w:left w:type="dxa" w:w="100"/>
              <w:bottom w:type="dxa" w:w="60"/>
              <w:right w:type="dxa" w:w="100"/>
            </w:tcMar>
          </w:tcPr>
          <w:p>
            <w:r>
              <w:rPr>
                <w:rFonts w:ascii="Arial" w:cs="Arial" w:eastAsia="Arial" w:hAnsi="Arial"/>
                <w:sz w:val="18"/>
                <w:szCs w:val="18"/>
              </w:rPr>
              <w:t xml:space="preserve">Japan Trench</w:t>
            </w:r>
          </w:p>
        </w:tc>
        <w:tc>
          <w:tcPr>
            <w:tcW w:type="dxa" w:w="800"/>
            <w:tcBorders>
              <w:top w:val="single" w:color="CCCCCC" w:sz="1"/>
              <w:left w:val="single" w:color="CCCCCC" w:sz="1"/>
              <w:bottom w:val="single" w:color="CCCCCC" w:sz="1"/>
              <w:right w:val="single" w:color="CCCCCC" w:sz="1"/>
            </w:tcBorders>
            <w:shd w:fill="F5F9FD" w:val="clear"/>
            <w:tcMar>
              <w:top w:type="dxa" w:w="60"/>
              <w:left w:type="dxa" w:w="100"/>
              <w:bottom w:type="dxa" w:w="60"/>
              <w:right w:type="dxa" w:w="100"/>
            </w:tcMar>
          </w:tcPr>
          <w:p>
            <w:r>
              <w:rPr>
                <w:rFonts w:ascii="Arial" w:cs="Arial" w:eastAsia="Arial" w:hAnsi="Arial"/>
                <w:sz w:val="18"/>
                <w:szCs w:val="18"/>
              </w:rPr>
              <w:t xml:space="preserve">35.0</w:t>
            </w:r>
          </w:p>
        </w:tc>
        <w:tc>
          <w:tcPr>
            <w:tcW w:type="dxa" w:w="800"/>
            <w:tcBorders>
              <w:top w:val="single" w:color="CCCCCC" w:sz="1"/>
              <w:left w:val="single" w:color="CCCCCC" w:sz="1"/>
              <w:bottom w:val="single" w:color="CCCCCC" w:sz="1"/>
              <w:right w:val="single" w:color="CCCCCC" w:sz="1"/>
            </w:tcBorders>
            <w:shd w:fill="F5F9FD" w:val="clear"/>
            <w:tcMar>
              <w:top w:type="dxa" w:w="60"/>
              <w:left w:type="dxa" w:w="100"/>
              <w:bottom w:type="dxa" w:w="60"/>
              <w:right w:type="dxa" w:w="100"/>
            </w:tcMar>
          </w:tcPr>
          <w:p>
            <w:r>
              <w:rPr>
                <w:rFonts w:ascii="Arial" w:cs="Arial" w:eastAsia="Arial" w:hAnsi="Arial"/>
                <w:sz w:val="18"/>
                <w:szCs w:val="18"/>
              </w:rPr>
              <w:t xml:space="preserve">45.0</w:t>
            </w:r>
          </w:p>
        </w:tc>
        <w:tc>
          <w:tcPr>
            <w:tcW w:type="dxa" w:w="800"/>
            <w:tcBorders>
              <w:top w:val="single" w:color="CCCCCC" w:sz="1"/>
              <w:left w:val="single" w:color="CCCCCC" w:sz="1"/>
              <w:bottom w:val="single" w:color="CCCCCC" w:sz="1"/>
              <w:right w:val="single" w:color="CCCCCC" w:sz="1"/>
            </w:tcBorders>
            <w:shd w:fill="F5F9FD" w:val="clear"/>
            <w:tcMar>
              <w:top w:type="dxa" w:w="60"/>
              <w:left w:type="dxa" w:w="100"/>
              <w:bottom w:type="dxa" w:w="60"/>
              <w:right w:type="dxa" w:w="100"/>
            </w:tcMar>
          </w:tcPr>
          <w:p>
            <w:r>
              <w:rPr>
                <w:rFonts w:ascii="Arial" w:cs="Arial" w:eastAsia="Arial" w:hAnsi="Arial"/>
                <w:sz w:val="18"/>
                <w:szCs w:val="18"/>
              </w:rPr>
              <w:t xml:space="preserve">140.0</w:t>
            </w:r>
          </w:p>
        </w:tc>
        <w:tc>
          <w:tcPr>
            <w:tcW w:type="dxa" w:w="800"/>
            <w:tcBorders>
              <w:top w:val="single" w:color="CCCCCC" w:sz="1"/>
              <w:left w:val="single" w:color="CCCCCC" w:sz="1"/>
              <w:bottom w:val="single" w:color="CCCCCC" w:sz="1"/>
              <w:right w:val="single" w:color="CCCCCC" w:sz="1"/>
            </w:tcBorders>
            <w:shd w:fill="F5F9FD" w:val="clear"/>
            <w:tcMar>
              <w:top w:type="dxa" w:w="60"/>
              <w:left w:type="dxa" w:w="100"/>
              <w:bottom w:type="dxa" w:w="60"/>
              <w:right w:type="dxa" w:w="100"/>
            </w:tcMar>
          </w:tcPr>
          <w:p>
            <w:r>
              <w:rPr>
                <w:rFonts w:ascii="Arial" w:cs="Arial" w:eastAsia="Arial" w:hAnsi="Arial"/>
                <w:sz w:val="18"/>
                <w:szCs w:val="18"/>
              </w:rPr>
              <w:t xml:space="preserve">145.0</w:t>
            </w:r>
          </w:p>
        </w:tc>
        <w:tc>
          <w:tcPr>
            <w:tcW w:type="dxa" w:w="1160"/>
            <w:tcBorders>
              <w:top w:val="single" w:color="CCCCCC" w:sz="1"/>
              <w:left w:val="single" w:color="CCCCCC" w:sz="1"/>
              <w:bottom w:val="single" w:color="CCCCCC" w:sz="1"/>
              <w:right w:val="single" w:color="CCCCCC" w:sz="1"/>
            </w:tcBorders>
            <w:shd w:fill="F5F9FD" w:val="clear"/>
            <w:tcMar>
              <w:top w:type="dxa" w:w="60"/>
              <w:left w:type="dxa" w:w="100"/>
              <w:bottom w:type="dxa" w:w="60"/>
              <w:right w:type="dxa" w:w="100"/>
            </w:tcMar>
          </w:tcPr>
          <w:p>
            <w:r>
              <w:rPr>
                <w:rFonts w:ascii="Arial" w:cs="Arial" w:eastAsia="Arial" w:hAnsi="Arial"/>
                <w:sz w:val="18"/>
                <w:szCs w:val="18"/>
              </w:rPr>
              <w:t xml:space="preserve">Primary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central_chile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Central Chile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-75.0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-65.0</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Secondary</w:t>
            </w:r>
          </w:p>
        </w:tc>
      </w:tr>
      <w:tr>
        <w:tc>
          <w:tcPr>
            <w:tcW w:type="dxa" w:w="1800"/>
            <w:tcBorders>
              <w:top w:val="single" w:color="CCCCCC" w:sz="1"/>
              <w:left w:val="single" w:color="CCCCCC" w:sz="1"/>
              <w:bottom w:val="single" w:color="CCCCCC" w:sz="1"/>
              <w:right w:val="single" w:color="CCCCCC" w:sz="1"/>
            </w:tcBorders>
            <w:shd w:fill="F5F9FD" w:val="clear"/>
            <w:tcMar>
              <w:top w:type="dxa" w:w="60"/>
              <w:left w:type="dxa" w:w="100"/>
              <w:bottom w:type="dxa" w:w="60"/>
              <w:right w:type="dxa" w:w="100"/>
            </w:tcMar>
          </w:tcPr>
          <w:p>
            <w:r>
              <w:rPr>
                <w:rFonts w:ascii="Arial" w:cs="Arial" w:eastAsia="Arial" w:hAnsi="Arial"/>
                <w:sz w:val="18"/>
                <w:szCs w:val="18"/>
              </w:rPr>
              <w:t xml:space="preserve">sumatra_andaman</w:t>
            </w:r>
          </w:p>
        </w:tc>
        <w:tc>
          <w:tcPr>
            <w:tcW w:type="dxa" w:w="2200"/>
            <w:tcBorders>
              <w:top w:val="single" w:color="CCCCCC" w:sz="1"/>
              <w:left w:val="single" w:color="CCCCCC" w:sz="1"/>
              <w:bottom w:val="single" w:color="CCCCCC" w:sz="1"/>
              <w:right w:val="single" w:color="CCCCCC" w:sz="1"/>
            </w:tcBorders>
            <w:shd w:fill="F5F9FD" w:val="clear"/>
            <w:tcMar>
              <w:top w:type="dxa" w:w="60"/>
              <w:left w:type="dxa" w:w="100"/>
              <w:bottom w:type="dxa" w:w="60"/>
              <w:right w:type="dxa" w:w="100"/>
            </w:tcMar>
          </w:tcPr>
          <w:p>
            <w:r>
              <w:rPr>
                <w:rFonts w:ascii="Arial" w:cs="Arial" w:eastAsia="Arial" w:hAnsi="Arial"/>
                <w:sz w:val="18"/>
                <w:szCs w:val="18"/>
              </w:rPr>
              <w:t xml:space="preserve">Sumatra-Andaman</w:t>
            </w:r>
          </w:p>
        </w:tc>
        <w:tc>
          <w:tcPr>
            <w:tcW w:type="dxa" w:w="800"/>
            <w:tcBorders>
              <w:top w:val="single" w:color="CCCCCC" w:sz="1"/>
              <w:left w:val="single" w:color="CCCCCC" w:sz="1"/>
              <w:bottom w:val="single" w:color="CCCCCC" w:sz="1"/>
              <w:right w:val="single" w:color="CCCCCC" w:sz="1"/>
            </w:tcBorders>
            <w:shd w:fill="F5F9FD" w:val="clear"/>
            <w:tcMar>
              <w:top w:type="dxa" w:w="60"/>
              <w:left w:type="dxa" w:w="100"/>
              <w:bottom w:type="dxa" w:w="60"/>
              <w:right w:type="dxa" w:w="100"/>
            </w:tcMar>
          </w:tcPr>
          <w:p>
            <w:r>
              <w:rPr>
                <w:rFonts w:ascii="Arial" w:cs="Arial" w:eastAsia="Arial" w:hAnsi="Arial"/>
                <w:sz w:val="18"/>
                <w:szCs w:val="18"/>
              </w:rPr>
              <w:t xml:space="preserve">0.0</w:t>
            </w:r>
          </w:p>
        </w:tc>
        <w:tc>
          <w:tcPr>
            <w:tcW w:type="dxa" w:w="800"/>
            <w:tcBorders>
              <w:top w:val="single" w:color="CCCCCC" w:sz="1"/>
              <w:left w:val="single" w:color="CCCCCC" w:sz="1"/>
              <w:bottom w:val="single" w:color="CCCCCC" w:sz="1"/>
              <w:right w:val="single" w:color="CCCCCC" w:sz="1"/>
            </w:tcBorders>
            <w:shd w:fill="F5F9FD" w:val="clear"/>
            <w:tcMar>
              <w:top w:type="dxa" w:w="60"/>
              <w:left w:type="dxa" w:w="100"/>
              <w:bottom w:type="dxa" w:w="60"/>
              <w:right w:type="dxa" w:w="100"/>
            </w:tcMar>
          </w:tcPr>
          <w:p>
            <w:r>
              <w:rPr>
                <w:rFonts w:ascii="Arial" w:cs="Arial" w:eastAsia="Arial" w:hAnsi="Arial"/>
                <w:sz w:val="18"/>
                <w:szCs w:val="18"/>
              </w:rPr>
              <w:t xml:space="preserve">15.0</w:t>
            </w:r>
          </w:p>
        </w:tc>
        <w:tc>
          <w:tcPr>
            <w:tcW w:type="dxa" w:w="800"/>
            <w:tcBorders>
              <w:top w:val="single" w:color="CCCCCC" w:sz="1"/>
              <w:left w:val="single" w:color="CCCCCC" w:sz="1"/>
              <w:bottom w:val="single" w:color="CCCCCC" w:sz="1"/>
              <w:right w:val="single" w:color="CCCCCC" w:sz="1"/>
            </w:tcBorders>
            <w:shd w:fill="F5F9FD" w:val="clear"/>
            <w:tcMar>
              <w:top w:type="dxa" w:w="60"/>
              <w:left w:type="dxa" w:w="100"/>
              <w:bottom w:type="dxa" w:w="60"/>
              <w:right w:type="dxa" w:w="100"/>
            </w:tcMar>
          </w:tcPr>
          <w:p>
            <w:r>
              <w:rPr>
                <w:rFonts w:ascii="Arial" w:cs="Arial" w:eastAsia="Arial" w:hAnsi="Arial"/>
                <w:sz w:val="18"/>
                <w:szCs w:val="18"/>
              </w:rPr>
              <w:t xml:space="preserve">92.0</w:t>
            </w:r>
          </w:p>
        </w:tc>
        <w:tc>
          <w:tcPr>
            <w:tcW w:type="dxa" w:w="800"/>
            <w:tcBorders>
              <w:top w:val="single" w:color="CCCCCC" w:sz="1"/>
              <w:left w:val="single" w:color="CCCCCC" w:sz="1"/>
              <w:bottom w:val="single" w:color="CCCCCC" w:sz="1"/>
              <w:right w:val="single" w:color="CCCCCC" w:sz="1"/>
            </w:tcBorders>
            <w:shd w:fill="F5F9FD" w:val="clear"/>
            <w:tcMar>
              <w:top w:type="dxa" w:w="60"/>
              <w:left w:type="dxa" w:w="100"/>
              <w:bottom w:type="dxa" w:w="60"/>
              <w:right w:type="dxa" w:w="100"/>
            </w:tcMar>
          </w:tcPr>
          <w:p>
            <w:r>
              <w:rPr>
                <w:rFonts w:ascii="Arial" w:cs="Arial" w:eastAsia="Arial" w:hAnsi="Arial"/>
                <w:sz w:val="18"/>
                <w:szCs w:val="18"/>
              </w:rPr>
              <w:t xml:space="preserve">100.0</w:t>
            </w:r>
          </w:p>
        </w:tc>
        <w:tc>
          <w:tcPr>
            <w:tcW w:type="dxa" w:w="1160"/>
            <w:tcBorders>
              <w:top w:val="single" w:color="CCCCCC" w:sz="1"/>
              <w:left w:val="single" w:color="CCCCCC" w:sz="1"/>
              <w:bottom w:val="single" w:color="CCCCCC" w:sz="1"/>
              <w:right w:val="single" w:color="CCCCCC" w:sz="1"/>
            </w:tcBorders>
            <w:shd w:fill="F5F9FD" w:val="clear"/>
            <w:tcMar>
              <w:top w:type="dxa" w:w="60"/>
              <w:left w:type="dxa" w:w="100"/>
              <w:bottom w:type="dxa" w:w="60"/>
              <w:right w:type="dxa" w:w="100"/>
            </w:tcMar>
          </w:tcPr>
          <w:p>
            <w:r>
              <w:rPr>
                <w:rFonts w:ascii="Arial" w:cs="Arial" w:eastAsia="Arial" w:hAnsi="Arial"/>
                <w:sz w:val="18"/>
                <w:szCs w:val="18"/>
              </w:rPr>
              <w:t xml:space="preserve">Secondary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north_anatolian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North Anatolian Fault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38.0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42.0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28.0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42.0</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Secondary</w:t>
            </w:r>
          </w:p>
        </w:tc>
      </w:tr>
    </w:tbl>
    <w:p>
      <w:pPr>
        <w:spacing w:after="60" w:before="0"/>
      </w:pPr>
      <w:r>
        <w:t xml:space="preserve"/>
      </w:r>
    </w:p>
    <w:p>
      <w:pPr>
        <w:spacing w:after="100" w:before="60"/>
      </w:pPr>
      <w:r>
        <w:rPr>
          <w:rFonts w:ascii="Arial" w:cs="Arial" w:eastAsia="Arial" w:hAnsi="Arial"/>
          <w:color w:val="1A1A1A"/>
          <w:sz w:val="22"/>
          <w:szCs w:val="22"/>
        </w:rPr>
        <w:t xml:space="preserve">A global pseudo-zone (fault_id = 'global') aggregates all records regardless of spatial assignment and is used for non-spatial analyses.</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Analysis Windows and Temporal Protocol</w:t>
      </w:r>
    </w:p>
    <w:p>
      <w:pPr>
        <w:pStyle w:val="Heading2"/>
        <w:spacing w:after="80" w:before="240"/>
      </w:pPr>
      <w:r>
        <w:rPr>
          <w:rFonts w:ascii="Arial" w:cs="Arial" w:eastAsia="Arial" w:hAnsi="Arial"/>
          <w:b/>
          <w:bCs/>
          <w:color w:val="1F4E79"/>
          <w:sz w:val="24"/>
          <w:szCs w:val="24"/>
        </w:rPr>
        <w:t xml:space="preserve">Primary Analysis Windows</w:t>
      </w:r>
    </w:p>
    <w:p>
      <w:pPr>
        <w:spacing w:after="100" w:before="60"/>
      </w:pPr>
      <w:r>
        <w:rPr>
          <w:rFonts w:ascii="Arial" w:cs="Arial" w:eastAsia="Arial" w:hAnsi="Arial"/>
          <w:color w:val="1A1A1A"/>
          <w:sz w:val="22"/>
          <w:szCs w:val="22"/>
        </w:rPr>
        <w:t xml:space="preserve">The following pre-event windows are the primary analysis windows, chosen to match the existing H1 label framework in sentinel_features.h1_labels:</w:t>
      </w:r>
    </w:p>
    <w:p>
      <w:pPr>
        <w:pStyle w:val="ListParagraph"/>
        <w:numPr>
          <w:ilvl w:val="0"/>
          <w:numId w:val="2"/>
        </w:numPr>
        <w:spacing w:after="40" w:before="40"/>
      </w:pPr>
      <w:r>
        <w:rPr>
          <w:rFonts w:ascii="Arial" w:cs="Arial" w:eastAsia="Arial" w:hAnsi="Arial"/>
          <w:color w:val="1A1A1A"/>
          <w:sz w:val="22"/>
          <w:szCs w:val="22"/>
        </w:rPr>
        <w:t xml:space="preserve">3 days pre-event (label_3d)</w:t>
      </w:r>
    </w:p>
    <w:p>
      <w:pPr>
        <w:pStyle w:val="ListParagraph"/>
        <w:numPr>
          <w:ilvl w:val="0"/>
          <w:numId w:val="2"/>
        </w:numPr>
        <w:spacing w:after="40" w:before="40"/>
      </w:pPr>
      <w:r>
        <w:rPr>
          <w:rFonts w:ascii="Arial" w:cs="Arial" w:eastAsia="Arial" w:hAnsi="Arial"/>
          <w:color w:val="1A1A1A"/>
          <w:sz w:val="22"/>
          <w:szCs w:val="22"/>
        </w:rPr>
        <w:t xml:space="preserve">5 days pre-event (label_5d)</w:t>
      </w:r>
    </w:p>
    <w:p>
      <w:pPr>
        <w:pStyle w:val="ListParagraph"/>
        <w:numPr>
          <w:ilvl w:val="0"/>
          <w:numId w:val="2"/>
        </w:numPr>
        <w:spacing w:after="40" w:before="40"/>
      </w:pPr>
      <w:r>
        <w:rPr>
          <w:rFonts w:ascii="Arial" w:cs="Arial" w:eastAsia="Arial" w:hAnsi="Arial"/>
          <w:color w:val="1A1A1A"/>
          <w:sz w:val="22"/>
          <w:szCs w:val="22"/>
        </w:rPr>
        <w:t xml:space="preserve">7 days pre-event (label_7d)</w:t>
      </w:r>
    </w:p>
    <w:p>
      <w:pPr>
        <w:spacing w:after="60" w:before="0"/>
      </w:pPr>
      <w:r>
        <w:t xml:space="preserve"/>
      </w:r>
    </w:p>
    <w:p>
      <w:pPr>
        <w:spacing w:after="100" w:before="60"/>
      </w:pPr>
      <w:r>
        <w:rPr>
          <w:rFonts w:ascii="Arial" w:cs="Arial" w:eastAsia="Arial" w:hAnsi="Arial"/>
          <w:color w:val="1A1A1A"/>
          <w:sz w:val="22"/>
          <w:szCs w:val="22"/>
        </w:rPr>
        <w:t xml:space="preserve">A record contributes to a pre-event window if its experience_date falls within [event_date - window, event_date - 1]. Day 0 (the event day itself) is excluded from pre-event windows to avoid contamination by post-hoc reporting.</w:t>
      </w:r>
    </w:p>
    <w:p>
      <w:pPr>
        <w:spacing w:after="60" w:before="0"/>
      </w:pPr>
      <w:r>
        <w:t xml:space="preserve"/>
      </w:r>
    </w:p>
    <w:p>
      <w:pPr>
        <w:pStyle w:val="Heading2"/>
        <w:spacing w:after="80" w:before="240"/>
      </w:pPr>
      <w:r>
        <w:rPr>
          <w:rFonts w:ascii="Arial" w:cs="Arial" w:eastAsia="Arial" w:hAnsi="Arial"/>
          <w:b/>
          <w:bCs/>
          <w:color w:val="1F4E79"/>
          <w:sz w:val="24"/>
          <w:szCs w:val="24"/>
        </w:rPr>
        <w:t xml:space="preserve">Pre-Specified Secondary Windows</w:t>
      </w:r>
    </w:p>
    <w:p>
      <w:pPr>
        <w:spacing w:after="100" w:before="60"/>
      </w:pPr>
      <w:r>
        <w:rPr>
          <w:rFonts w:ascii="Arial" w:cs="Arial" w:eastAsia="Arial" w:hAnsi="Arial"/>
          <w:color w:val="1A1A1A"/>
          <w:sz w:val="22"/>
          <w:szCs w:val="22"/>
        </w:rPr>
        <w:t xml:space="preserve">The following additional windows are registered as pre-specified secondary analyses. Results in these windows are hypothesis-generating and labeled exploratory:</w:t>
      </w:r>
    </w:p>
    <w:p>
      <w:pPr>
        <w:pStyle w:val="ListParagraph"/>
        <w:numPr>
          <w:ilvl w:val="0"/>
          <w:numId w:val="2"/>
        </w:numPr>
        <w:spacing w:after="40" w:before="40"/>
      </w:pPr>
      <w:r>
        <w:rPr>
          <w:rFonts w:ascii="Arial" w:cs="Arial" w:eastAsia="Arial" w:hAnsi="Arial"/>
          <w:color w:val="1A1A1A"/>
          <w:sz w:val="22"/>
          <w:szCs w:val="22"/>
        </w:rPr>
        <w:t xml:space="preserve">14 days pre-event</w:t>
      </w:r>
    </w:p>
    <w:p>
      <w:pPr>
        <w:pStyle w:val="ListParagraph"/>
        <w:numPr>
          <w:ilvl w:val="0"/>
          <w:numId w:val="2"/>
        </w:numPr>
        <w:spacing w:after="40" w:before="40"/>
      </w:pPr>
      <w:r>
        <w:rPr>
          <w:rFonts w:ascii="Arial" w:cs="Arial" w:eastAsia="Arial" w:hAnsi="Arial"/>
          <w:color w:val="1A1A1A"/>
          <w:sz w:val="22"/>
          <w:szCs w:val="22"/>
        </w:rPr>
        <w:t xml:space="preserve">30 days pre-event</w:t>
      </w:r>
    </w:p>
    <w:p>
      <w:pPr>
        <w:spacing w:after="60" w:before="0"/>
      </w:pPr>
      <w:r>
        <w:t xml:space="preserve"/>
      </w:r>
    </w:p>
    <w:p>
      <w:pPr>
        <w:spacing w:after="100" w:before="60"/>
      </w:pPr>
      <w:r>
        <w:rPr>
          <w:rFonts w:ascii="Arial" w:cs="Arial" w:eastAsia="Arial" w:hAnsi="Arial"/>
          <w:color w:val="1A1A1A"/>
          <w:sz w:val="22"/>
          <w:szCs w:val="22"/>
        </w:rPr>
        <w:t xml:space="preserve">The 30-day window is included because a subset of precognitive experience reports — particularly in the NEXA corpus — report experiences weeks to months before a confirmed event. The 30-day window captures this population while still being constrained enough to reduce false positive risk from chance associations.</w:t>
      </w:r>
    </w:p>
    <w:p>
      <w:pPr>
        <w:spacing w:after="60" w:before="0"/>
      </w:pPr>
      <w:r>
        <w:t xml:space="preserve"/>
      </w:r>
    </w:p>
    <w:p>
      <w:pPr>
        <w:pStyle w:val="Heading2"/>
        <w:spacing w:after="80" w:before="240"/>
      </w:pPr>
      <w:r>
        <w:rPr>
          <w:rFonts w:ascii="Arial" w:cs="Arial" w:eastAsia="Arial" w:hAnsi="Arial"/>
          <w:b/>
          <w:bCs/>
          <w:color w:val="1F4E79"/>
          <w:sz w:val="24"/>
          <w:szCs w:val="24"/>
        </w:rPr>
        <w:t xml:space="preserve">Long-Lead Records — NEXA Direct Match Analysis</w:t>
      </w:r>
    </w:p>
    <w:p>
      <w:pPr>
        <w:spacing w:after="100" w:before="60"/>
      </w:pPr>
      <w:r>
        <w:rPr>
          <w:rFonts w:ascii="Arial" w:cs="Arial" w:eastAsia="Arial" w:hAnsi="Arial"/>
          <w:color w:val="1A1A1A"/>
          <w:sz w:val="22"/>
          <w:szCs w:val="22"/>
        </w:rPr>
        <w:t xml:space="preserve">NEXA records with a populated extracted_event_date_approx field (n=39 as of amendment date) are analyzed using a direct match protocol rather than the time-window protocol above. In the direct match analysis:</w:t>
      </w:r>
    </w:p>
    <w:p>
      <w:pPr>
        <w:pStyle w:val="ListParagraph"/>
        <w:numPr>
          <w:ilvl w:val="0"/>
          <w:numId w:val="2"/>
        </w:numPr>
        <w:spacing w:after="40" w:before="40"/>
      </w:pPr>
      <w:r>
        <w:rPr>
          <w:rFonts w:ascii="Arial" w:cs="Arial" w:eastAsia="Arial" w:hAnsi="Arial"/>
          <w:color w:val="1A1A1A"/>
          <w:sz w:val="22"/>
          <w:szCs w:val="22"/>
        </w:rPr>
        <w:t xml:space="preserve">The reported event date (extracted_event_date_approx) is matched against the M6+ earthquake catalog within a ±30-day tolerance window</w:t>
      </w:r>
    </w:p>
    <w:p>
      <w:pPr>
        <w:pStyle w:val="ListParagraph"/>
        <w:numPr>
          <w:ilvl w:val="0"/>
          <w:numId w:val="2"/>
        </w:numPr>
        <w:spacing w:after="40" w:before="40"/>
      </w:pPr>
      <w:r>
        <w:rPr>
          <w:rFonts w:ascii="Arial" w:cs="Arial" w:eastAsia="Arial" w:hAnsi="Arial"/>
          <w:color w:val="1A1A1A"/>
          <w:sz w:val="22"/>
          <w:szCs w:val="22"/>
        </w:rPr>
        <w:t xml:space="preserve">A match is defined as any M6+ event occurring within the fault zone associated with the record's primary_location within ±30 days of the reported event date</w:t>
      </w:r>
    </w:p>
    <w:p>
      <w:pPr>
        <w:pStyle w:val="ListParagraph"/>
        <w:numPr>
          <w:ilvl w:val="0"/>
          <w:numId w:val="2"/>
        </w:numPr>
        <w:spacing w:after="40" w:before="40"/>
      </w:pPr>
      <w:r>
        <w:rPr>
          <w:rFonts w:ascii="Arial" w:cs="Arial" w:eastAsia="Arial" w:hAnsi="Arial"/>
          <w:color w:val="1A1A1A"/>
          <w:sz w:val="22"/>
          <w:szCs w:val="22"/>
        </w:rPr>
        <w:t xml:space="preserve">Match rate is compared against a permutation null distribution (1,000 permutations, random date offsets preserving seasonality)</w:t>
      </w:r>
    </w:p>
    <w:p>
      <w:pPr>
        <w:pStyle w:val="ListParagraph"/>
        <w:numPr>
          <w:ilvl w:val="0"/>
          <w:numId w:val="2"/>
        </w:numPr>
        <w:spacing w:after="40" w:before="40"/>
      </w:pPr>
      <w:r>
        <w:rPr>
          <w:rFonts w:ascii="Arial" w:cs="Arial" w:eastAsia="Arial" w:hAnsi="Arial"/>
          <w:color w:val="1A1A1A"/>
          <w:sz w:val="22"/>
          <w:szCs w:val="22"/>
        </w:rPr>
        <w:t xml:space="preserve">Records without extracted_event_date_approx are excluded from the direct match analysis and included in the standard time-window analysis only</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Outcome Metrics</w:t>
      </w:r>
    </w:p>
    <w:p>
      <w:pPr>
        <w:pStyle w:val="Heading2"/>
        <w:spacing w:after="80" w:before="240"/>
      </w:pPr>
      <w:r>
        <w:rPr>
          <w:rFonts w:ascii="Arial" w:cs="Arial" w:eastAsia="Arial" w:hAnsi="Arial"/>
          <w:b/>
          <w:bCs/>
          <w:color w:val="1F4E79"/>
          <w:sz w:val="24"/>
          <w:szCs w:val="24"/>
        </w:rPr>
        <w:t xml:space="preserve">Primary Outcome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E79"/>
                <w:sz w:val="20"/>
                <w:szCs w:val="20"/>
              </w:rPr>
              <w:t xml:space="preserve">Primary Outcome Metric</w:t>
            </w:r>
          </w:p>
          <w:p>
            <w:r>
              <w:rPr>
                <w:rFonts w:ascii="Arial" w:cs="Arial" w:eastAsia="Arial" w:hAnsi="Arial"/>
                <w:color w:val="1A1A1A"/>
                <w:sz w:val="20"/>
                <w:szCs w:val="20"/>
              </w:rPr>
              <w:t xml:space="preserve">Mean daily HAC count z-score within the pre-event window (3d, 5d, 7d) across all fault zones, compared against a permutation-based null distribution (1,000 permutations). A statistically significant result is defined as p &lt; 0.05 (one-tailed, testing for elevation above baseline). The primary fault zone is japan_trench (highest event count); results are reported per fault zone and pooled.</w:t>
            </w:r>
          </w:p>
        </w:tc>
      </w:tr>
    </w:tbl>
    <w:p>
      <w:pPr>
        <w:spacing w:after="60" w:before="0"/>
      </w:pPr>
      <w:r>
        <w:t xml:space="preserve"/>
      </w:r>
    </w:p>
    <w:p>
      <w:pPr>
        <w:spacing w:after="100" w:before="60"/>
      </w:pPr>
      <w:r>
        <w:rPr>
          <w:rFonts w:ascii="Arial" w:cs="Arial" w:eastAsia="Arial" w:hAnsi="Arial"/>
          <w:color w:val="1A1A1A"/>
          <w:sz w:val="22"/>
          <w:szCs w:val="22"/>
        </w:rPr>
        <w:t xml:space="preserve">The daily HAC count z-score is computed against a 365-day rolling baseline (excluding the 7 days immediately preceding the event to avoid contamination). Records are assigned to fault zones based on referred_lat_approx / referred_lon_approx where available; all records contribute to the global pseudo-zone.</w:t>
      </w:r>
    </w:p>
    <w:p>
      <w:pPr>
        <w:spacing w:after="60" w:before="0"/>
      </w:pPr>
      <w:r>
        <w:t xml:space="preserve"/>
      </w:r>
    </w:p>
    <w:p>
      <w:pPr>
        <w:pStyle w:val="Heading2"/>
        <w:spacing w:after="80" w:before="240"/>
      </w:pPr>
      <w:r>
        <w:rPr>
          <w:rFonts w:ascii="Arial" w:cs="Arial" w:eastAsia="Arial" w:hAnsi="Arial"/>
          <w:b/>
          <w:bCs/>
          <w:color w:val="1F4E79"/>
          <w:sz w:val="24"/>
          <w:szCs w:val="24"/>
        </w:rPr>
        <w:t xml:space="preserve">Pre-Specified Secondary Outcomes</w:t>
      </w:r>
    </w:p>
    <w:p>
      <w:pPr>
        <w:pStyle w:val="ListParagraph"/>
        <w:numPr>
          <w:ilvl w:val="0"/>
          <w:numId w:val="2"/>
        </w:numPr>
        <w:spacing w:after="40" w:before="40"/>
      </w:pPr>
      <w:r>
        <w:rPr>
          <w:rFonts w:ascii="Arial" w:cs="Arial" w:eastAsia="Arial" w:hAnsi="Arial"/>
          <w:color w:val="1A1A1A"/>
          <w:sz w:val="22"/>
          <w:szCs w:val="22"/>
        </w:rPr>
        <w:t xml:space="preserve">Urgency-stratified analysis: high_urgency records only vs. all geophysical records</w:t>
      </w:r>
    </w:p>
    <w:p>
      <w:pPr>
        <w:pStyle w:val="ListParagraph"/>
        <w:numPr>
          <w:ilvl w:val="0"/>
          <w:numId w:val="2"/>
        </w:numPr>
        <w:spacing w:after="40" w:before="40"/>
      </w:pPr>
      <w:r>
        <w:rPr>
          <w:rFonts w:ascii="Arial" w:cs="Arial" w:eastAsia="Arial" w:hAnsi="Arial"/>
          <w:color w:val="1A1A1A"/>
          <w:sz w:val="22"/>
          <w:szCs w:val="22"/>
        </w:rPr>
        <w:t xml:space="preserve">Imagery-stratified analysis: water_imagery = TRUE subset</w:t>
      </w:r>
    </w:p>
    <w:p>
      <w:pPr>
        <w:pStyle w:val="ListParagraph"/>
        <w:numPr>
          <w:ilvl w:val="0"/>
          <w:numId w:val="2"/>
        </w:numPr>
        <w:spacing w:after="40" w:before="40"/>
      </w:pPr>
      <w:r>
        <w:rPr>
          <w:rFonts w:ascii="Arial" w:cs="Arial" w:eastAsia="Arial" w:hAnsi="Arial"/>
          <w:color w:val="1A1A1A"/>
          <w:sz w:val="22"/>
          <w:szCs w:val="22"/>
        </w:rPr>
        <w:t xml:space="preserve">Emotion-stratified analysis: high-intensity emotion cluster (terror, dread, panic, horror, anguish)</w:t>
      </w:r>
    </w:p>
    <w:p>
      <w:pPr>
        <w:pStyle w:val="ListParagraph"/>
        <w:numPr>
          <w:ilvl w:val="0"/>
          <w:numId w:val="2"/>
        </w:numPr>
        <w:spacing w:after="40" w:before="40"/>
      </w:pPr>
      <w:r>
        <w:rPr>
          <w:rFonts w:ascii="Arial" w:cs="Arial" w:eastAsia="Arial" w:hAnsi="Arial"/>
          <w:color w:val="1A1A1A"/>
          <w:sz w:val="22"/>
          <w:szCs w:val="22"/>
        </w:rPr>
        <w:t xml:space="preserve">Modality-stratified analysis (NEXA Tier 2): dream vs. waking precognitive experiences</w:t>
      </w:r>
    </w:p>
    <w:p>
      <w:pPr>
        <w:pStyle w:val="ListParagraph"/>
        <w:numPr>
          <w:ilvl w:val="0"/>
          <w:numId w:val="2"/>
        </w:numPr>
        <w:spacing w:after="40" w:before="40"/>
      </w:pPr>
      <w:r>
        <w:rPr>
          <w:rFonts w:ascii="Arial" w:cs="Arial" w:eastAsia="Arial" w:hAnsi="Arial"/>
          <w:color w:val="1A1A1A"/>
          <w:sz w:val="22"/>
          <w:szCs w:val="22"/>
        </w:rPr>
        <w:t xml:space="preserve">Signal-strength-stratified analysis (NEXA Tier 2): QC_signal_strength = 1 (highest) vs. all</w:t>
      </w:r>
    </w:p>
    <w:p>
      <w:pPr>
        <w:pStyle w:val="ListParagraph"/>
        <w:numPr>
          <w:ilvl w:val="0"/>
          <w:numId w:val="2"/>
        </w:numPr>
        <w:spacing w:after="40" w:before="40"/>
      </w:pPr>
      <w:r>
        <w:rPr>
          <w:rFonts w:ascii="Arial" w:cs="Arial" w:eastAsia="Arial" w:hAnsi="Arial"/>
          <w:color w:val="1A1A1A"/>
          <w:sz w:val="22"/>
          <w:szCs w:val="22"/>
        </w:rPr>
        <w:t xml:space="preserve">Tsunami-associated events subanalysis: events with tsunami = 1 in event catalog</w:t>
      </w:r>
    </w:p>
    <w:p>
      <w:pPr>
        <w:pStyle w:val="ListParagraph"/>
        <w:numPr>
          <w:ilvl w:val="0"/>
          <w:numId w:val="2"/>
        </w:numPr>
        <w:spacing w:after="40" w:before="40"/>
      </w:pPr>
      <w:r>
        <w:rPr>
          <w:rFonts w:ascii="Arial" w:cs="Arial" w:eastAsia="Arial" w:hAnsi="Arial"/>
          <w:color w:val="1A1A1A"/>
          <w:sz w:val="22"/>
          <w:szCs w:val="22"/>
        </w:rPr>
        <w:t xml:space="preserve">M7+ subanalysis: magnitude threshold raised to 7.0</w:t>
      </w:r>
    </w:p>
    <w:p>
      <w:pPr>
        <w:pStyle w:val="ListParagraph"/>
        <w:numPr>
          <w:ilvl w:val="0"/>
          <w:numId w:val="2"/>
        </w:numPr>
        <w:spacing w:after="40" w:before="40"/>
      </w:pPr>
      <w:r>
        <w:rPr>
          <w:rFonts w:ascii="Arial" w:cs="Arial" w:eastAsia="Arial" w:hAnsi="Arial"/>
          <w:color w:val="1A1A1A"/>
          <w:sz w:val="22"/>
          <w:szCs w:val="22"/>
        </w:rPr>
        <w:t xml:space="preserve">14-day and 30-day window analyses (labeled exploratory)</w:t>
      </w:r>
    </w:p>
    <w:p>
      <w:pPr>
        <w:pStyle w:val="ListParagraph"/>
        <w:numPr>
          <w:ilvl w:val="0"/>
          <w:numId w:val="2"/>
        </w:numPr>
        <w:spacing w:after="40" w:before="40"/>
      </w:pPr>
      <w:r>
        <w:rPr>
          <w:rFonts w:ascii="Arial" w:cs="Arial" w:eastAsia="Arial" w:hAnsi="Arial"/>
          <w:color w:val="1A1A1A"/>
          <w:sz w:val="22"/>
          <w:szCs w:val="22"/>
        </w:rPr>
        <w:t xml:space="preserve">NEXA direct match analysis (described above)</w:t>
      </w:r>
    </w:p>
    <w:p>
      <w:pPr>
        <w:pStyle w:val="ListParagraph"/>
        <w:numPr>
          <w:ilvl w:val="0"/>
          <w:numId w:val="2"/>
        </w:numPr>
        <w:spacing w:after="40" w:before="40"/>
      </w:pPr>
      <w:r>
        <w:rPr>
          <w:rFonts w:ascii="Arial" w:cs="Arial" w:eastAsia="Arial" w:hAnsi="Arial"/>
          <w:color w:val="1A1A1A"/>
          <w:sz w:val="22"/>
          <w:szCs w:val="22"/>
        </w:rPr>
        <w:t xml:space="preserve">Tier 3 combined corpus analysis with source_type and modality as covariates</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Analysis Method</w:t>
      </w:r>
    </w:p>
    <w:p>
      <w:pPr>
        <w:pStyle w:val="Heading2"/>
        <w:spacing w:after="80" w:before="240"/>
      </w:pPr>
      <w:r>
        <w:rPr>
          <w:rFonts w:ascii="Arial" w:cs="Arial" w:eastAsia="Arial" w:hAnsi="Arial"/>
          <w:b/>
          <w:bCs/>
          <w:color w:val="1F4E79"/>
          <w:sz w:val="24"/>
          <w:szCs w:val="24"/>
        </w:rPr>
        <w:t xml:space="preserve">Superposed Epoch Analysis with Permutation Testing</w:t>
      </w:r>
    </w:p>
    <w:p>
      <w:pPr>
        <w:spacing w:after="100" w:before="60"/>
      </w:pPr>
      <w:r>
        <w:rPr>
          <w:rFonts w:ascii="Arial" w:cs="Arial" w:eastAsia="Arial" w:hAnsi="Arial"/>
          <w:color w:val="1A1A1A"/>
          <w:sz w:val="22"/>
          <w:szCs w:val="22"/>
        </w:rPr>
        <w:t xml:space="preserve">The primary analysis method is superposed epoch analysis (SEA) with a permutation-based null distribution, consistent with the existing sentinel_analysis.motif_signal_zscores framework already in use for other signal streams within Project Sentinel.</w:t>
      </w:r>
    </w:p>
    <w:p>
      <w:pPr>
        <w:spacing w:after="60" w:before="0"/>
      </w:pPr>
      <w:r>
        <w:t xml:space="preserve"/>
      </w:r>
    </w:p>
    <w:p>
      <w:pPr>
        <w:spacing w:after="100" w:before="60"/>
      </w:pPr>
      <w:r>
        <w:rPr>
          <w:rFonts w:ascii="Arial" w:cs="Arial" w:eastAsia="Arial" w:hAnsi="Arial"/>
          <w:color w:val="1A1A1A"/>
          <w:sz w:val="22"/>
          <w:szCs w:val="22"/>
        </w:rPr>
        <w:t xml:space="preserve">The analysis proceeds as follows:</w:t>
      </w:r>
    </w:p>
    <w:p>
      <w:pPr>
        <w:pStyle w:val="ListParagraph"/>
        <w:numPr>
          <w:ilvl w:val="0"/>
          <w:numId w:val="2"/>
        </w:numPr>
        <w:spacing w:after="40" w:before="40"/>
      </w:pPr>
      <w:r>
        <w:rPr>
          <w:rFonts w:ascii="Arial" w:cs="Arial" w:eastAsia="Arial" w:hAnsi="Arial"/>
          <w:color w:val="1A1A1A"/>
          <w:sz w:val="22"/>
          <w:szCs w:val="22"/>
        </w:rPr>
        <w:t xml:space="preserve">For each M6+ event in the catalog within the study period and fault zone, extract the daily HAC count z-score for days -7 through +7 relative to the event (rel_day = -7 to +7)</w:t>
      </w:r>
    </w:p>
    <w:p>
      <w:pPr>
        <w:pStyle w:val="ListParagraph"/>
        <w:numPr>
          <w:ilvl w:val="0"/>
          <w:numId w:val="2"/>
        </w:numPr>
        <w:spacing w:after="40" w:before="40"/>
      </w:pPr>
      <w:r>
        <w:rPr>
          <w:rFonts w:ascii="Arial" w:cs="Arial" w:eastAsia="Arial" w:hAnsi="Arial"/>
          <w:color w:val="1A1A1A"/>
          <w:sz w:val="22"/>
          <w:szCs w:val="22"/>
        </w:rPr>
        <w:t xml:space="preserve">Compute the mean z-score at each rel_day across all events (the observed superposed epoch curve)</w:t>
      </w:r>
    </w:p>
    <w:p>
      <w:pPr>
        <w:pStyle w:val="ListParagraph"/>
        <w:numPr>
          <w:ilvl w:val="0"/>
          <w:numId w:val="2"/>
        </w:numPr>
        <w:spacing w:after="40" w:before="40"/>
      </w:pPr>
      <w:r>
        <w:rPr>
          <w:rFonts w:ascii="Arial" w:cs="Arial" w:eastAsia="Arial" w:hAnsi="Arial"/>
          <w:color w:val="1A1A1A"/>
          <w:sz w:val="22"/>
          <w:szCs w:val="22"/>
        </w:rPr>
        <w:t xml:space="preserve">Generate a null distribution: permute event dates 1,000 times (random offsets preserving day-of-week and seasonal structure), recompute the mean z-score at each rel_day for each permutation</w:t>
      </w:r>
    </w:p>
    <w:p>
      <w:pPr>
        <w:pStyle w:val="ListParagraph"/>
        <w:numPr>
          <w:ilvl w:val="0"/>
          <w:numId w:val="2"/>
        </w:numPr>
        <w:spacing w:after="40" w:before="40"/>
      </w:pPr>
      <w:r>
        <w:rPr>
          <w:rFonts w:ascii="Arial" w:cs="Arial" w:eastAsia="Arial" w:hAnsi="Arial"/>
          <w:color w:val="1A1A1A"/>
          <w:sz w:val="22"/>
          <w:szCs w:val="22"/>
        </w:rPr>
        <w:t xml:space="preserve">Compute the empirical p-value as the proportion of permutations where the mean pre-event z-score exceeds the observed value</w:t>
      </w:r>
    </w:p>
    <w:p>
      <w:pPr>
        <w:pStyle w:val="ListParagraph"/>
        <w:numPr>
          <w:ilvl w:val="0"/>
          <w:numId w:val="2"/>
        </w:numPr>
        <w:spacing w:after="40" w:before="40"/>
      </w:pPr>
      <w:r>
        <w:rPr>
          <w:rFonts w:ascii="Arial" w:cs="Arial" w:eastAsia="Arial" w:hAnsi="Arial"/>
          <w:color w:val="1A1A1A"/>
          <w:sz w:val="22"/>
          <w:szCs w:val="22"/>
        </w:rPr>
        <w:t xml:space="preserve">Report results as z-score curves with permutation confidence intervals, matching the format of motif_signal_zscores</w:t>
      </w:r>
    </w:p>
    <w:p>
      <w:pPr>
        <w:spacing w:after="60" w:before="0"/>
      </w:pPr>
      <w:r>
        <w:t xml:space="preserve"/>
      </w:r>
    </w:p>
    <w:p>
      <w:pPr>
        <w:pStyle w:val="Heading2"/>
        <w:spacing w:after="80" w:before="240"/>
      </w:pPr>
      <w:r>
        <w:rPr>
          <w:rFonts w:ascii="Arial" w:cs="Arial" w:eastAsia="Arial" w:hAnsi="Arial"/>
          <w:b/>
          <w:bCs/>
          <w:color w:val="1F4E79"/>
          <w:sz w:val="24"/>
          <w:szCs w:val="24"/>
        </w:rPr>
        <w:t xml:space="preserve">Feature Table</w:t>
      </w:r>
    </w:p>
    <w:p>
      <w:pPr>
        <w:spacing w:after="100" w:before="60"/>
      </w:pPr>
      <w:r>
        <w:rPr>
          <w:rFonts w:ascii="Arial" w:cs="Arial" w:eastAsia="Arial" w:hAnsi="Arial"/>
          <w:color w:val="1A1A1A"/>
          <w:sz w:val="22"/>
          <w:szCs w:val="22"/>
        </w:rPr>
        <w:t xml:space="preserve">The analysis is conducted against sentinel_features.hac_features_daily, which contains one row per fault zone per day with the following key fields:</w:t>
      </w:r>
    </w:p>
    <w:p>
      <w:pPr>
        <w:pStyle w:val="ListParagraph"/>
        <w:numPr>
          <w:ilvl w:val="0"/>
          <w:numId w:val="2"/>
        </w:numPr>
        <w:spacing w:after="40" w:before="40"/>
      </w:pPr>
      <w:r>
        <w:rPr>
          <w:rFonts w:ascii="Arial" w:cs="Arial" w:eastAsia="Arial" w:hAnsi="Arial"/>
          <w:color w:val="1A1A1A"/>
          <w:sz w:val="22"/>
          <w:szCs w:val="22"/>
        </w:rPr>
        <w:t xml:space="preserve">hac_count: total geophysical HAC records for that fault zone on that day</w:t>
      </w:r>
    </w:p>
    <w:p>
      <w:pPr>
        <w:pStyle w:val="ListParagraph"/>
        <w:numPr>
          <w:ilvl w:val="0"/>
          <w:numId w:val="2"/>
        </w:numPr>
        <w:spacing w:after="40" w:before="40"/>
      </w:pPr>
      <w:r>
        <w:rPr>
          <w:rFonts w:ascii="Arial" w:cs="Arial" w:eastAsia="Arial" w:hAnsi="Arial"/>
          <w:color w:val="1A1A1A"/>
          <w:sz w:val="22"/>
          <w:szCs w:val="22"/>
        </w:rPr>
        <w:t xml:space="preserve">hac_count_zscore: daily count z-scored against 365-day rolling baseline</w:t>
      </w:r>
    </w:p>
    <w:p>
      <w:pPr>
        <w:pStyle w:val="ListParagraph"/>
        <w:numPr>
          <w:ilvl w:val="0"/>
          <w:numId w:val="2"/>
        </w:numPr>
        <w:spacing w:after="40" w:before="40"/>
      </w:pPr>
      <w:r>
        <w:rPr>
          <w:rFonts w:ascii="Arial" w:cs="Arial" w:eastAsia="Arial" w:hAnsi="Arial"/>
          <w:color w:val="1A1A1A"/>
          <w:sz w:val="22"/>
          <w:szCs w:val="22"/>
        </w:rPr>
        <w:t xml:space="preserve">hac_count_high_urgency, hac_count_water, hac_count_destruction, hac_count_high_emotion: stratified counts</w:t>
      </w:r>
    </w:p>
    <w:p>
      <w:pPr>
        <w:pStyle w:val="ListParagraph"/>
        <w:numPr>
          <w:ilvl w:val="0"/>
          <w:numId w:val="2"/>
        </w:numPr>
        <w:spacing w:after="40" w:before="40"/>
      </w:pPr>
      <w:r>
        <w:rPr>
          <w:rFonts w:ascii="Arial" w:cs="Arial" w:eastAsia="Arial" w:hAnsi="Arial"/>
          <w:color w:val="1A1A1A"/>
          <w:sz w:val="22"/>
          <w:szCs w:val="22"/>
        </w:rPr>
        <w:t xml:space="preserve">hac_7d_count, hac_30d_count: rolling window aggregates</w:t>
      </w:r>
    </w:p>
    <w:p>
      <w:pPr>
        <w:pStyle w:val="ListParagraph"/>
        <w:numPr>
          <w:ilvl w:val="0"/>
          <w:numId w:val="2"/>
        </w:numPr>
        <w:spacing w:after="40" w:before="40"/>
      </w:pPr>
      <w:r>
        <w:rPr>
          <w:rFonts w:ascii="Arial" w:cs="Arial" w:eastAsia="Arial" w:hAnsi="Arial"/>
          <w:color w:val="1A1A1A"/>
          <w:sz w:val="22"/>
          <w:szCs w:val="22"/>
        </w:rPr>
        <w:t xml:space="preserve">data_split: inherited from h1_labels for train/test consistency</w:t>
      </w:r>
    </w:p>
    <w:p>
      <w:pPr>
        <w:spacing w:after="60" w:before="0"/>
      </w:pPr>
      <w:r>
        <w:t xml:space="preserve"/>
      </w:r>
    </w:p>
    <w:p>
      <w:pPr>
        <w:pStyle w:val="Heading2"/>
        <w:spacing w:after="80" w:before="240"/>
      </w:pPr>
      <w:r>
        <w:rPr>
          <w:rFonts w:ascii="Arial" w:cs="Arial" w:eastAsia="Arial" w:hAnsi="Arial"/>
          <w:b/>
          <w:bCs/>
          <w:color w:val="1F4E79"/>
          <w:sz w:val="24"/>
          <w:szCs w:val="24"/>
        </w:rPr>
        <w:t xml:space="preserve">Deduplication Protocol</w:t>
      </w:r>
    </w:p>
    <w:p>
      <w:pPr>
        <w:spacing w:after="100" w:before="60"/>
      </w:pPr>
      <w:r>
        <w:rPr>
          <w:rFonts w:ascii="Arial" w:cs="Arial" w:eastAsia="Arial" w:hAnsi="Arial"/>
          <w:color w:val="1A1A1A"/>
          <w:sz w:val="22"/>
          <w:szCs w:val="22"/>
        </w:rPr>
        <w:t xml:space="preserve">Prior to building hac_features_daily, all three corpora are deduplicated as follows:</w:t>
      </w:r>
    </w:p>
    <w:p>
      <w:pPr>
        <w:pStyle w:val="ListParagraph"/>
        <w:numPr>
          <w:ilvl w:val="0"/>
          <w:numId w:val="2"/>
        </w:numPr>
        <w:spacing w:after="40" w:before="40"/>
      </w:pPr>
      <w:r>
        <w:rPr>
          <w:rFonts w:ascii="Arial" w:cs="Arial" w:eastAsia="Arial" w:hAnsi="Arial"/>
          <w:color w:val="1A1A1A"/>
          <w:sz w:val="22"/>
          <w:szCs w:val="22"/>
        </w:rPr>
        <w:t xml:space="preserve">Reddit corpus is treated as the base layer (already staged)</w:t>
      </w:r>
    </w:p>
    <w:p>
      <w:pPr>
        <w:pStyle w:val="ListParagraph"/>
        <w:numPr>
          <w:ilvl w:val="0"/>
          <w:numId w:val="2"/>
        </w:numPr>
        <w:spacing w:after="40" w:before="40"/>
      </w:pPr>
      <w:r>
        <w:rPr>
          <w:rFonts w:ascii="Arial" w:cs="Arial" w:eastAsia="Arial" w:hAnsi="Arial"/>
          <w:color w:val="1A1A1A"/>
          <w:sz w:val="22"/>
          <w:szCs w:val="22"/>
        </w:rPr>
        <w:t xml:space="preserve">At SDDb import time: narrative_text from each SDDb record is compared against existing Reddit records using a 64-character rolling hash of the first 200 characters of normalized text (lowercased, punctuation stripped). Exact matches are excluded. Near-matches (Jaccard similarity &gt; 0.85 on 5-gram tokens) are flagged for review.</w:t>
      </w:r>
    </w:p>
    <w:p>
      <w:pPr>
        <w:pStyle w:val="ListParagraph"/>
        <w:numPr>
          <w:ilvl w:val="0"/>
          <w:numId w:val="2"/>
        </w:numPr>
        <w:spacing w:after="40" w:before="40"/>
      </w:pPr>
      <w:r>
        <w:rPr>
          <w:rFonts w:ascii="Arial" w:cs="Arial" w:eastAsia="Arial" w:hAnsi="Arial"/>
          <w:color w:val="1A1A1A"/>
          <w:sz w:val="22"/>
          <w:szCs w:val="22"/>
        </w:rPr>
        <w:t xml:space="preserve">At NEXA import time: same deduplication check against Reddit + SDDb</w:t>
      </w:r>
    </w:p>
    <w:p>
      <w:pPr>
        <w:pStyle w:val="ListParagraph"/>
        <w:numPr>
          <w:ilvl w:val="0"/>
          <w:numId w:val="2"/>
        </w:numPr>
        <w:spacing w:after="40" w:before="40"/>
      </w:pPr>
      <w:r>
        <w:rPr>
          <w:rFonts w:ascii="Arial" w:cs="Arial" w:eastAsia="Arial" w:hAnsi="Arial"/>
          <w:color w:val="1A1A1A"/>
          <w:sz w:val="22"/>
          <w:szCs w:val="22"/>
        </w:rPr>
        <w:t xml:space="preserve">Exclusion counts are logged and reported in the methods section of any publication</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Null Result Protocol</w:t>
      </w:r>
    </w:p>
    <w:p>
      <w:pPr>
        <w:spacing w:after="100" w:before="60"/>
      </w:pPr>
      <w:r>
        <w:rPr>
          <w:rFonts w:ascii="Arial" w:cs="Arial" w:eastAsia="Arial" w:hAnsi="Arial"/>
          <w:color w:val="1A1A1A"/>
          <w:sz w:val="22"/>
          <w:szCs w:val="22"/>
        </w:rPr>
        <w:t xml:space="preserve">A null result in the HAC stream — that is, no statistically significant elevation in HAC signal in pre-event windows — is a scientifically valid and reportable outcome. The project is pre-registered and the analysis will be reported regardless of direction. A null result will be interpreted as:</w:t>
      </w:r>
    </w:p>
    <w:p>
      <w:pPr>
        <w:pStyle w:val="ListParagraph"/>
        <w:numPr>
          <w:ilvl w:val="0"/>
          <w:numId w:val="2"/>
        </w:numPr>
        <w:spacing w:after="40" w:before="40"/>
      </w:pPr>
      <w:r>
        <w:rPr>
          <w:rFonts w:ascii="Arial" w:cs="Arial" w:eastAsia="Arial" w:hAnsi="Arial"/>
          <w:color w:val="1A1A1A"/>
          <w:sz w:val="22"/>
          <w:szCs w:val="22"/>
        </w:rPr>
        <w:t xml:space="preserve">No detectable population-level precognitive signal in the Reddit/SDDb corpus using the methods described here</w:t>
      </w:r>
    </w:p>
    <w:p>
      <w:pPr>
        <w:pStyle w:val="ListParagraph"/>
        <w:numPr>
          <w:ilvl w:val="0"/>
          <w:numId w:val="2"/>
        </w:numPr>
        <w:spacing w:after="40" w:before="40"/>
      </w:pPr>
      <w:r>
        <w:rPr>
          <w:rFonts w:ascii="Arial" w:cs="Arial" w:eastAsia="Arial" w:hAnsi="Arial"/>
          <w:color w:val="1A1A1A"/>
          <w:sz w:val="22"/>
          <w:szCs w:val="22"/>
        </w:rPr>
        <w:t xml:space="preserve">Not as evidence that individual precognitive experiences do not occur</w:t>
      </w:r>
    </w:p>
    <w:p>
      <w:pPr>
        <w:pStyle w:val="ListParagraph"/>
        <w:numPr>
          <w:ilvl w:val="0"/>
          <w:numId w:val="2"/>
        </w:numPr>
        <w:spacing w:after="40" w:before="40"/>
      </w:pPr>
      <w:r>
        <w:rPr>
          <w:rFonts w:ascii="Arial" w:cs="Arial" w:eastAsia="Arial" w:hAnsi="Arial"/>
          <w:color w:val="1A1A1A"/>
          <w:sz w:val="22"/>
          <w:szCs w:val="22"/>
        </w:rPr>
        <w:t xml:space="preserve">The NEXA direct match analysis is a secondary and independent test that may produce a different result from the Tier 1 population analysis</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Data and Code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GCP Project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synexis-project-sentinel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HAC intake dataset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hac_intake (hac_normalized, hac_enrichment, hac_raw)</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Feature table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sentinel_features.hac_features_daily (to be built prior to analysis)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Ground truth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sentinel_groundtruth.master_earthquakes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Analysis output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sentinel_analysis.motif_signal_zscores (existing framework)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Code repository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github.com/synexisproject-bit/project-sentinel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Reddit source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r/Dreams archive, 2.6M rows, provided by Center for Organizational Dreaming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SDDb 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database export provided by Kelly Bulkeley, Sleep and Dream Database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NEXA source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Manually curated precognition dataset, compiled and QC'd by PI</w:t>
            </w:r>
          </w:p>
        </w:tc>
      </w:tr>
    </w:tbl>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Advisory Board Note</w:t>
      </w:r>
    </w:p>
    <w:p>
      <w:pPr>
        <w:spacing w:after="100" w:before="60"/>
      </w:pPr>
      <w:r>
        <w:rPr>
          <w:rFonts w:ascii="Arial" w:cs="Arial" w:eastAsia="Arial" w:hAnsi="Arial"/>
          <w:color w:val="1A1A1A"/>
          <w:sz w:val="22"/>
          <w:szCs w:val="22"/>
        </w:rPr>
        <w:t xml:space="preserve">This amendment was drafted and filed by the PI (JT) prior to any analysis being conducted. The amendment will be shared with the Project Sentinel advisory board including former NOAA Administrator Tim Gallaudet and collaborators at the Institute of Noetic Sciences (IONS) and the Center for Organizational Dreaming for review.</w:t>
      </w:r>
    </w:p>
    <w:p>
      <w:pPr>
        <w:spacing w:after="60" w:before="0"/>
      </w:pPr>
      <w:r>
        <w:t xml:space="preserve"/>
      </w:r>
    </w:p>
    <w:p>
      <w:pPr>
        <w:spacing w:after="100" w:before="60"/>
      </w:pPr>
      <w:r>
        <w:rPr>
          <w:rFonts w:ascii="Arial" w:cs="Arial" w:eastAsia="Arial" w:hAnsi="Arial"/>
          <w:color w:val="1A1A1A"/>
          <w:sz w:val="22"/>
          <w:szCs w:val="22"/>
        </w:rPr>
        <w:t xml:space="preserve">Any substantive revisions requested by advisors will be filed as Amendment #2a prior to analysis execution. No revisions will be accepted after analysis has begun.</w:t>
      </w:r>
    </w:p>
    <w:p>
      <w:pPr>
        <w:spacing w:after="120" w:before="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Appendix: Additional Signal Domains — Flagged for Future Pre-Registration</w:t>
      </w:r>
    </w:p>
    <w:p>
      <w:pPr>
        <w:spacing w:after="100" w:before="60"/>
      </w:pPr>
      <w:r>
        <w:rPr>
          <w:rFonts w:ascii="Arial" w:cs="Arial" w:eastAsia="Arial" w:hAnsi="Arial"/>
          <w:color w:val="1A1A1A"/>
          <w:sz w:val="22"/>
          <w:szCs w:val="22"/>
        </w:rPr>
        <w:t xml:space="preserve">During corpus review and data characterization conducted prior to this amendment, the PI identified two recurring signal patterns in the NEXA dataset that are outside the scope of the current HAC analysis protocol but warrant documentation here as candidates for future pre-registered studies. These patterns are noted here to establish priority and create a paper trail of pre-analysis identification. No statistical analysis of these patterns has been conducted.</w:t>
      </w:r>
    </w:p>
    <w:p>
      <w:pPr>
        <w:spacing w:after="60" w:before="0"/>
      </w:pPr>
      <w:r>
        <w:t xml:space="preserve"/>
      </w:r>
    </w:p>
    <w:p>
      <w:pPr>
        <w:pStyle w:val="Heading2"/>
        <w:spacing w:after="80" w:before="240"/>
      </w:pPr>
      <w:r>
        <w:rPr>
          <w:rFonts w:ascii="Arial" w:cs="Arial" w:eastAsia="Arial" w:hAnsi="Arial"/>
          <w:b/>
          <w:bCs/>
          <w:color w:val="1F4E79"/>
          <w:sz w:val="24"/>
          <w:szCs w:val="24"/>
        </w:rPr>
        <w:t xml:space="preserve">Domain 1 — Non-Disaster Precognitive Hits (Personal Precognition)</w:t>
      </w:r>
    </w:p>
    <w:p>
      <w:pPr>
        <w:spacing w:after="100" w:before="60"/>
      </w:pPr>
      <w:r>
        <w:rPr>
          <w:rFonts w:ascii="Arial" w:cs="Arial" w:eastAsia="Arial" w:hAnsi="Arial"/>
          <w:color w:val="1A1A1A"/>
          <w:sz w:val="22"/>
          <w:szCs w:val="22"/>
        </w:rPr>
        <w:t xml:space="preserve">A notable subset of NEXA records describe precognitive experiences that refer to personal events — car accidents, deaths of acquaintances, family emergencies — rather than large-scale geophysical or disaster events. Many of these records carry QC_reported_hit = 'y' and have verifiable outcome dates in extracted_event_date_approx. These records are distinguished from the geophysical corpus by primary_domain classification and are staged in the pipeline with source_type = 'archive_nexa'.</w:t>
      </w:r>
    </w:p>
    <w:p>
      <w:pPr>
        <w:spacing w:after="60" w:before="0"/>
      </w:pPr>
      <w:r>
        <w:t xml:space="preserve"/>
      </w:r>
    </w:p>
    <w:p>
      <w:pPr>
        <w:spacing w:after="100" w:before="60"/>
      </w:pPr>
      <w:r>
        <w:rPr>
          <w:rFonts w:ascii="Arial" w:cs="Arial" w:eastAsia="Arial" w:hAnsi="Arial"/>
          <w:color w:val="1A1A1A"/>
          <w:sz w:val="22"/>
          <w:szCs w:val="22"/>
        </w:rPr>
        <w:t xml:space="preserve">This population is scientifically interesting for a distinct reason from the geophysical corpus: personal precognitive hits have a lower base rate problem than disaster precognition, making individual case verification more tractable. A future pre-registered analysis of this population would test whether the reported hit rate exceeds chance expectation under a well-defined comparison framework, potentially in collaboration with IONS researchers who have prior experience with individual precognition protocols.</w:t>
      </w:r>
    </w:p>
    <w:p>
      <w:pPr>
        <w:spacing w:after="60" w:before="0"/>
      </w:pPr>
      <w:r>
        <w:t xml:space="preserve"/>
      </w:r>
    </w:p>
    <w:p>
      <w:pPr>
        <w:spacing w:after="100" w:before="60"/>
      </w:pPr>
      <w:r>
        <w:rPr>
          <w:rFonts w:ascii="Arial" w:cs="Arial" w:eastAsia="Arial" w:hAnsi="Arial"/>
          <w:color w:val="1A1A1A"/>
          <w:sz w:val="22"/>
          <w:szCs w:val="22"/>
        </w:rPr>
        <w:t xml:space="preserve">No analysis of this domain will be conducted until a separate pre-registration is filed specifying the comparison framework, hit rate definition, and statistical method.</w:t>
      </w:r>
    </w:p>
    <w:p>
      <w:pPr>
        <w:spacing w:after="60" w:before="0"/>
      </w:pPr>
      <w:r>
        <w:t xml:space="preserve"/>
      </w:r>
    </w:p>
    <w:p>
      <w:pPr>
        <w:pStyle w:val="Heading2"/>
        <w:spacing w:after="80" w:before="240"/>
      </w:pPr>
      <w:r>
        <w:rPr>
          <w:rFonts w:ascii="Arial" w:cs="Arial" w:eastAsia="Arial" w:hAnsi="Arial"/>
          <w:b/>
          <w:bCs/>
          <w:color w:val="1F4E79"/>
          <w:sz w:val="24"/>
          <w:szCs w:val="24"/>
        </w:rPr>
        <w:t xml:space="preserve">Domain 2 — After-Death Communication (ADC) Reports</w:t>
      </w:r>
    </w:p>
    <w:p>
      <w:pPr>
        <w:spacing w:after="100" w:before="60"/>
      </w:pPr>
      <w:r>
        <w:rPr>
          <w:rFonts w:ascii="Arial" w:cs="Arial" w:eastAsia="Arial" w:hAnsi="Arial"/>
          <w:color w:val="1A1A1A"/>
          <w:sz w:val="22"/>
          <w:szCs w:val="22"/>
        </w:rPr>
        <w:t xml:space="preserve">A second recurring pattern in the NEXA corpus involves reports of deceased individuals communicating information to the dreamer or experiencer — information that was subsequently verified as accurate and previously unknown to the experiencer. These reports are distinct from grief dreams or symbolic representations of loss; they involve specific, verifiable informational content attributed to a deceased individual.</w:t>
      </w:r>
    </w:p>
    <w:p>
      <w:pPr>
        <w:spacing w:after="60" w:before="0"/>
      </w:pPr>
      <w:r>
        <w:t xml:space="preserve"/>
      </w:r>
    </w:p>
    <w:p>
      <w:pPr>
        <w:spacing w:after="100" w:before="60"/>
      </w:pPr>
      <w:r>
        <w:rPr>
          <w:rFonts w:ascii="Arial" w:cs="Arial" w:eastAsia="Arial" w:hAnsi="Arial"/>
          <w:color w:val="1A1A1A"/>
          <w:sz w:val="22"/>
          <w:szCs w:val="22"/>
        </w:rPr>
        <w:t xml:space="preserve">This domain overlaps with research programs at IONS and other anomalous cognition institutions, and the SDDb corpus (Kelly Bulkeley) may contain additional examples given its breadth of longitudinal dream journal data. The prevalence and content characteristics of ADC reports in large-scale naturalistic dream corpora has not, to the PI's knowledge, been quantitatively characterized at the scale the combined Sentinel corpus would permit. This may represent a novel contribution to the field independent of the geophysical precursor hypothesis.</w:t>
      </w:r>
    </w:p>
    <w:p>
      <w:pPr>
        <w:spacing w:after="60" w:before="0"/>
      </w:pPr>
      <w:r>
        <w:t xml:space="preserve"/>
      </w:r>
    </w:p>
    <w:p>
      <w:pPr>
        <w:spacing w:after="100" w:before="60"/>
      </w:pPr>
      <w:r>
        <w:rPr>
          <w:rFonts w:ascii="Arial" w:cs="Arial" w:eastAsia="Arial" w:hAnsi="Arial"/>
          <w:color w:val="1A1A1A"/>
          <w:sz w:val="22"/>
          <w:szCs w:val="22"/>
        </w:rPr>
        <w:t xml:space="preserve">Recommended future design: a taxonomy-based content analysis of ADC reports in the combined corpus, with informational specificity as the primary quality metric, in collaboration with Kelly Bulkeley (SDDb) and Dr. Helane Wahbeh (IONS). No analysis of this domain will be conducted until a separate pre-registration is filed.</w:t>
      </w:r>
    </w:p>
    <w:p>
      <w:pPr>
        <w:spacing w:after="60" w:before="0"/>
      </w:pPr>
      <w:r>
        <w:t xml:space="preserve"/>
      </w:r>
    </w:p>
    <w:p>
      <w:pPr>
        <w:pStyle w:val="Heading2"/>
        <w:spacing w:after="80" w:before="240"/>
      </w:pPr>
      <w:r>
        <w:rPr>
          <w:rFonts w:ascii="Arial" w:cs="Arial" w:eastAsia="Arial" w:hAnsi="Arial"/>
          <w:b/>
          <w:bCs/>
          <w:color w:val="1F4E79"/>
          <w:sz w:val="24"/>
          <w:szCs w:val="24"/>
        </w:rPr>
        <w:t xml:space="preserve">Pipeline Implications</w:t>
      </w:r>
    </w:p>
    <w:p>
      <w:pPr>
        <w:spacing w:after="100" w:before="60"/>
      </w:pPr>
      <w:r>
        <w:rPr>
          <w:rFonts w:ascii="Arial" w:cs="Arial" w:eastAsia="Arial" w:hAnsi="Arial"/>
          <w:color w:val="1A1A1A"/>
          <w:sz w:val="22"/>
          <w:szCs w:val="22"/>
        </w:rPr>
        <w:t xml:space="preserve">Both domains are currently capturable within the existing pipeline infrastructure with minor additions to the LLM enrichment prompt and primary_domain taxonomy. The following domain tags are pre-specified for use in the SDDb and NEXA import pipelines, to be applied during the enrichment phase:</w:t>
      </w:r>
    </w:p>
    <w:p>
      <w:pPr>
        <w:pStyle w:val="ListParagraph"/>
        <w:numPr>
          <w:ilvl w:val="0"/>
          <w:numId w:val="2"/>
        </w:numPr>
        <w:spacing w:after="40" w:before="40"/>
      </w:pPr>
      <w:r>
        <w:rPr>
          <w:rFonts w:ascii="Arial" w:cs="Arial" w:eastAsia="Arial" w:hAnsi="Arial"/>
          <w:color w:val="1A1A1A"/>
          <w:sz w:val="22"/>
          <w:szCs w:val="22"/>
        </w:rPr>
        <w:t xml:space="preserve">geophysical_precognition — geophysical or disaster-related precognitive experience (current HAC primary focus)</w:t>
      </w:r>
    </w:p>
    <w:p>
      <w:pPr>
        <w:pStyle w:val="ListParagraph"/>
        <w:numPr>
          <w:ilvl w:val="0"/>
          <w:numId w:val="2"/>
        </w:numPr>
        <w:spacing w:after="40" w:before="40"/>
      </w:pPr>
      <w:r>
        <w:rPr>
          <w:rFonts w:ascii="Arial" w:cs="Arial" w:eastAsia="Arial" w:hAnsi="Arial"/>
          <w:color w:val="1A1A1A"/>
          <w:sz w:val="22"/>
          <w:szCs w:val="22"/>
        </w:rPr>
        <w:t xml:space="preserve">personal_precognition — precognitive experience referring to personal or interpersonal events</w:t>
      </w:r>
    </w:p>
    <w:p>
      <w:pPr>
        <w:pStyle w:val="ListParagraph"/>
        <w:numPr>
          <w:ilvl w:val="0"/>
          <w:numId w:val="2"/>
        </w:numPr>
        <w:spacing w:after="40" w:before="40"/>
      </w:pPr>
      <w:r>
        <w:rPr>
          <w:rFonts w:ascii="Arial" w:cs="Arial" w:eastAsia="Arial" w:hAnsi="Arial"/>
          <w:color w:val="1A1A1A"/>
          <w:sz w:val="22"/>
          <w:szCs w:val="22"/>
        </w:rPr>
        <w:t xml:space="preserve">after_death_communication — experience involving apparent communication from a deceased individual</w:t>
      </w:r>
    </w:p>
    <w:p>
      <w:pPr>
        <w:pStyle w:val="ListParagraph"/>
        <w:numPr>
          <w:ilvl w:val="0"/>
          <w:numId w:val="2"/>
        </w:numPr>
        <w:spacing w:after="40" w:before="40"/>
      </w:pPr>
      <w:r>
        <w:rPr>
          <w:rFonts w:ascii="Arial" w:cs="Arial" w:eastAsia="Arial" w:hAnsi="Arial"/>
          <w:color w:val="1A1A1A"/>
          <w:sz w:val="22"/>
          <w:szCs w:val="22"/>
        </w:rPr>
        <w:t xml:space="preserve">anomalous_other — anomalous experience not fitting the above categories</w:t>
      </w:r>
    </w:p>
    <w:p>
      <w:pPr>
        <w:pStyle w:val="ListParagraph"/>
        <w:numPr>
          <w:ilvl w:val="0"/>
          <w:numId w:val="2"/>
        </w:numPr>
        <w:spacing w:after="40" w:before="40"/>
      </w:pPr>
      <w:r>
        <w:rPr>
          <w:rFonts w:ascii="Arial" w:cs="Arial" w:eastAsia="Arial" w:hAnsi="Arial"/>
          <w:color w:val="1A1A1A"/>
          <w:sz w:val="22"/>
          <w:szCs w:val="22"/>
        </w:rPr>
        <w:t xml:space="preserve">non_anomalous — dream or experience without apparent anomalous content (baseline population)</w:t>
      </w:r>
    </w:p>
    <w:p>
      <w:pPr>
        <w:spacing w:after="60" w:before="0"/>
      </w:pPr>
      <w:r>
        <w:t xml:space="preserve"/>
      </w:r>
    </w:p>
    <w:p>
      <w:pPr>
        <w:spacing w:after="100" w:before="60"/>
      </w:pPr>
      <w:r>
        <w:rPr>
          <w:rFonts w:ascii="Arial" w:cs="Arial" w:eastAsia="Arial" w:hAnsi="Arial"/>
          <w:color w:val="1A1A1A"/>
          <w:sz w:val="22"/>
          <w:szCs w:val="22"/>
        </w:rPr>
        <w:t xml:space="preserve">These tags enable future stratified analyses without requiring re-processing of the corpus. All non-geophysical records are excluded from the Amendment #2 primary analysis and will remain staged but inactive until a future amendment activates them.</w:t>
      </w:r>
    </w:p>
    <w:p>
      <w:pPr>
        <w:spacing w:after="120" w:before="0"/>
      </w:pPr>
      <w:r>
        <w:t xml:space="preserve"/>
      </w:r>
    </w:p>
    <w:p>
      <w:pPr>
        <w:pBdr>
          <w:top w:val="single" w:color="CCCCCC" w:sz="4" w:space="8"/>
        </w:pBdr>
        <w:spacing w:after="0" w:before="400"/>
        <w:jc w:val="center"/>
      </w:pPr>
      <w:r>
        <w:rPr>
          <w:rFonts w:ascii="Arial" w:cs="Arial" w:eastAsia="Arial" w:hAnsi="Arial"/>
          <w:color w:val="888888"/>
          <w:sz w:val="18"/>
          <w:szCs w:val="18"/>
        </w:rPr>
        <w:t xml:space="preserve">Project Sentinel  |  The Synexis Project  |  Amendment #2  |  April 2026  |  Pre-registered prior to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4E79"/>
      <w:sz w:val="24"/>
      <w:szCs w:val="24"/>
    </w:rPr>
  </w:style>
  <w:style w:type="paragraph" w:styleId="Heading3">
    <w:name w:val="Heading 3"/>
    <w:basedOn w:val="Normal"/>
    <w:next w:val="Normal"/>
    <w:qFormat/>
    <w:pPr>
      <w:spacing w:after="6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2026-04-08T05:17:53.478Z</dcterms:created>
  <dcterms:modified xsi:type="dcterms:W3CDTF">2026-04-08T05:17:53.480Z</dcterms:modified>
</cp:coreProperties>
</file>

<file path=docProps/custom.xml><?xml version="1.0" encoding="utf-8"?>
<Properties xmlns="http://schemas.openxmlformats.org/officeDocument/2006/custom-properties" xmlns:vt="http://schemas.openxmlformats.org/officeDocument/2006/docPropsVTypes"/>
</file>