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PROJECT SENTINEL</w:t>
      </w:r>
    </w:p>
    <w:p>
      <w:pPr>
        <w:spacing w:after="80" w:before="0"/>
        <w:jc w:val="center"/>
      </w:pPr>
      <w:r>
        <w:rPr>
          <w:rFonts w:ascii="Arial" w:cs="Arial" w:eastAsia="Arial" w:hAnsi="Arial"/>
          <w:b/>
          <w:bCs/>
          <w:color w:val="2E5596"/>
          <w:sz w:val="28"/>
          <w:szCs w:val="28"/>
        </w:rPr>
        <w:t xml:space="preserve">Pre-Registration Amendment #8</w:t>
      </w:r>
    </w:p>
    <w:p>
      <w:pPr>
        <w:spacing w:after="80" w:before="0"/>
        <w:jc w:val="center"/>
      </w:pPr>
      <w:r>
        <w:rPr>
          <w:rFonts w:ascii="Arial" w:cs="Arial" w:eastAsia="Arial" w:hAnsi="Arial"/>
          <w:color w:val="444444"/>
          <w:sz w:val="24"/>
          <w:szCs w:val="24"/>
        </w:rPr>
        <w:t xml:space="preserve">Hayward Fault — Exploratory Pipeline Extension</w:t>
      </w:r>
    </w:p>
    <w:p>
      <w:pPr>
        <w:spacing w:after="80" w:before="0"/>
        <w:jc w:val="center"/>
      </w:pPr>
      <w:r>
        <w:rPr>
          <w:rFonts w:ascii="Arial" w:cs="Arial" w:eastAsia="Arial" w:hAnsi="Arial"/>
          <w:b/>
          <w:bCs/>
          <w:color w:val="C00000"/>
          <w:sz w:val="22"/>
          <w:szCs w:val="22"/>
        </w:rPr>
        <w:t xml:space="preserve">EXPLORATORY ANALYSIS — NO PASS/FAIL THRESHOLD APPLIES</w:t>
      </w:r>
    </w:p>
    <w:p>
      <w:pPr>
        <w:spacing w:after="240" w:before="0"/>
        <w:jc w:val="center"/>
      </w:pPr>
      <w:r>
        <w:rPr>
          <w:rFonts w:ascii="Arial" w:cs="Arial" w:eastAsia="Arial" w:hAnsi="Arial"/>
          <w:color w:val="666666"/>
          <w:sz w:val="20"/>
          <w:szCs w:val="20"/>
        </w:rPr>
        <w:t xml:space="preserve">Filed: May 14, 2026  |  osf.io/8hvf6</w:t>
      </w:r>
    </w:p>
    <w:p>
      <w:pPr>
        <w:pBdr>
          <w:bottom w:val="single" w:color="2E5596" w:sz="6" w:space="1"/>
        </w:pBdr>
        <w:spacing w:after="120" w:before="120"/>
      </w:pPr>
      <w:r>
        <w:t xml:space="preserve"/>
      </w:r>
    </w:p>
    <w:p>
      <w:pPr>
        <w:pStyle w:val="Heading1"/>
        <w:spacing w:after="160" w:before="320"/>
      </w:pPr>
      <w:r>
        <w:rPr>
          <w:rFonts w:ascii="Arial" w:cs="Arial" w:eastAsia="Arial" w:hAnsi="Arial"/>
          <w:b/>
          <w:bCs/>
          <w:color w:val="1F3864"/>
          <w:sz w:val="28"/>
          <w:szCs w:val="28"/>
        </w:rPr>
        <w:t xml:space="preserve">1. Purpose</w:t>
      </w:r>
    </w:p>
    <w:p>
      <w:pPr>
        <w:spacing w:after="80" w:before="80"/>
      </w:pPr>
      <w:r>
        <w:rPr>
          <w:rFonts w:ascii="Arial" w:cs="Arial" w:eastAsia="Arial" w:hAnsi="Arial"/>
          <w:sz w:val="22"/>
          <w:szCs w:val="22"/>
        </w:rPr>
        <w:t xml:space="preserve">This amendment pre-registers the Hayward fault zone as an exploratory secondary analysis within the Project Sentinel Phase 2 multi-stream convergence pipeline. The Hayward fault was designated as an exploratory candidate prior to the H4 walk-forward execution (commit ca051fb, May 5, 2026 — before any results were known) but was absent from the upstream feature tables at time of execution, producing no result.</w:t>
      </w:r>
    </w:p>
    <w:p>
      <w:pPr>
        <w:spacing w:after="60" w:before="60"/>
      </w:pPr>
      <w:r>
        <w:t xml:space="preserve"/>
      </w:r>
    </w:p>
    <w:p>
      <w:pPr>
        <w:spacing w:after="80" w:before="80"/>
      </w:pPr>
      <w:r>
        <w:rPr>
          <w:rFonts w:ascii="Arial" w:cs="Arial" w:eastAsia="Arial" w:hAnsi="Arial"/>
          <w:sz w:val="22"/>
          <w:szCs w:val="22"/>
        </w:rPr>
        <w:t xml:space="preserve">This amendment formally specifies the fault geometry, magnitude threshold, analysis protocol, and exploratory designation before any data is pulled or any pipeline code is written for Hayward. No data retrieval or feature engineering will begin until this amendment is committed to OSF and GitHub.</w:t>
      </w:r>
    </w:p>
    <w:p>
      <w:pPr>
        <w:spacing w:after="60" w:before="60"/>
      </w:pPr>
      <w:r>
        <w:t xml:space="preserve"/>
      </w:r>
    </w:p>
    <w:p>
      <w:pPr>
        <w:pBdr>
          <w:top w:val="single" w:color="C00000" w:sz="4"/>
          <w:bottom w:val="single" w:color="C00000" w:sz="4"/>
        </w:pBdr>
        <w:spacing w:after="120" w:before="120"/>
      </w:pPr>
      <w:r>
        <w:rPr>
          <w:rFonts w:ascii="Arial" w:cs="Arial" w:eastAsia="Arial" w:hAnsi="Arial"/>
          <w:b/>
          <w:bCs/>
          <w:color w:val="C00000"/>
          <w:sz w:val="22"/>
          <w:szCs w:val="22"/>
        </w:rPr>
        <w:t xml:space="preserve">CRITICAL: This analysis is EXPLORATORY in all circumstances. Results carry no confirmatory weight regardless of outcome. No pass/fail threshold applies. Findings are hypothesis-generating only and must be reported and interpreted accordingly in any publication or presentation.</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2. Scientific Rationale for Hayward Fault Selection</w:t>
      </w:r>
    </w:p>
    <w:p>
      <w:pPr>
        <w:spacing w:after="80" w:before="80"/>
      </w:pPr>
      <w:r>
        <w:rPr>
          <w:rFonts w:ascii="Arial" w:cs="Arial" w:eastAsia="Arial" w:hAnsi="Arial"/>
          <w:sz w:val="22"/>
          <w:szCs w:val="22"/>
        </w:rPr>
        <w:t xml:space="preserve">The Hayward fault is one of the highest-seismic-hazard urban fault systems in the United States, with a documented recurrence interval of approximately 140–170 years for major rupture and a current estimated probability of ~33% for an M≧6.7 event within 30 years (UCERF3). Several features make it a scientifically valuable addition to the Sentinel exploratory pipeline: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Dense instrumentation: The Bay Area hosts one of the most densely instrumented geophysical monitoring networks in the world, including BARD (Bay Area Regional Deformation) GNSS stations, USGS seismic networks, and high-quality ionospheric coverage from regional reference stations. This network density is substantially higher than any of the five pre-registered fault zones and may support higher signal resolution in H2 GPS deformation features.</w:t>
      </w:r>
    </w:p>
    <w:p>
      <w:pPr>
        <w:pStyle w:val="ListParagraph"/>
        <w:numPr>
          <w:ilvl w:val="0"/>
          <w:numId w:val="2"/>
        </w:numPr>
        <w:spacing w:after="60" w:before="60"/>
      </w:pPr>
      <w:r>
        <w:rPr>
          <w:rFonts w:ascii="Arial" w:cs="Arial" w:eastAsia="Arial" w:hAnsi="Arial"/>
          <w:sz w:val="22"/>
          <w:szCs w:val="22"/>
        </w:rPr>
        <w:t xml:space="preserve">Shallow crustal geometry: The Hayward fault is a shallow, locked strike-slip system with a well-characterized locking depth of ~12 km and documented creep in the southern segment. The LAIC coupling mechanism (lithospheric stress → radon outgassing → atmospheric ionization → ionospheric TEC anomaly) is theoretically most active at shallow crustal depths, making Hayward a higher-sensitivity test environment than deep subduction interfaces.</w:t>
      </w:r>
    </w:p>
    <w:p>
      <w:pPr>
        <w:pStyle w:val="ListParagraph"/>
        <w:numPr>
          <w:ilvl w:val="0"/>
          <w:numId w:val="2"/>
        </w:numPr>
        <w:spacing w:after="60" w:before="60"/>
      </w:pPr>
      <w:r>
        <w:rPr>
          <w:rFonts w:ascii="Arial" w:cs="Arial" w:eastAsia="Arial" w:hAnsi="Arial"/>
          <w:sz w:val="22"/>
          <w:szCs w:val="22"/>
        </w:rPr>
        <w:t xml:space="preserve">Historical seismicity catalog depth: The northern California seismic catalog extends to the early 20th century, with high-quality digital records from 1967 onward. The USGS Northern California Seismic Network (NCSN) provides one of the most complete M≥2.0 catalogs globally, supporting robust H1 seismic feature engineering.</w:t>
      </w:r>
    </w:p>
    <w:p>
      <w:pPr>
        <w:pStyle w:val="ListParagraph"/>
        <w:numPr>
          <w:ilvl w:val="0"/>
          <w:numId w:val="2"/>
        </w:numPr>
        <w:spacing w:after="60" w:before="60"/>
      </w:pPr>
      <w:r>
        <w:rPr>
          <w:rFonts w:ascii="Arial" w:cs="Arial" w:eastAsia="Arial" w:hAnsi="Arial"/>
          <w:sz w:val="22"/>
          <w:szCs w:val="22"/>
        </w:rPr>
        <w:t xml:space="preserve">Geographic proximity to Cascadia: Hayward provides a California complement to the Cascadia pre-registered zone, allowing cross-fault comparison of signal patterns within the western North American tectonic system.</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3. Fault Geometry and Spatial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Fault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Hayward Fault, northern California</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Fault type</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Strike-slip (right-lateral), East Bay, San Francisco Bay Area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Centroid coordinates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37.65°N, 122.08°W</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Bounding box</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37.2°N–38.1°N, 121.6°W–122.4°W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Dobrovolsky radius (M5.5)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 km (extends across Bay Area GNSS and seismic networks)</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Magnitude threshold</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M≥5.5 (pre-specified deviation from M≥6.0 — see Section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definition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7-day forward window (identical to pre-registered zones)</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Analysis class</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EXPLORATORY — no pass/fail threshold applies</w:t>
            </w:r>
          </w:p>
        </w:tc>
      </w:tr>
    </w:tbl>
    <w:p>
      <w:pPr>
        <w:spacing w:after="60" w:before="60"/>
      </w:pPr>
      <w:r>
        <w:t xml:space="preserve"/>
      </w:r>
    </w:p>
    <w:p>
      <w:pPr>
        <w:spacing w:after="80" w:before="80"/>
      </w:pPr>
      <w:r>
        <w:rPr>
          <w:rFonts w:ascii="Arial" w:cs="Arial" w:eastAsia="Arial" w:hAnsi="Arial"/>
          <w:sz w:val="22"/>
          <w:szCs w:val="22"/>
        </w:rPr>
        <w:t xml:space="preserve">The bounding box encompasses the full mapped extent of the Hayward fault from the southern segment (Fremont area) through the northern segment (Richmond area), plus a buffer region sufficient to capture precursor signals within the Dobrovolsky radius. The centroid is positioned at the approximate midpoint of the mapped fault trace.</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4. Magnitude Threshold — Pre-Specified Deviation</w:t>
      </w:r>
    </w:p>
    <w:p>
      <w:pPr>
        <w:spacing w:after="80" w:before="80"/>
      </w:pPr>
      <w:r>
        <w:rPr>
          <w:rFonts w:ascii="Arial" w:cs="Arial" w:eastAsia="Arial" w:hAnsi="Arial"/>
          <w:sz w:val="22"/>
          <w:szCs w:val="22"/>
        </w:rPr>
        <w:t xml:space="preserve">The five pre-registered fault zones use M≥6.0 as the positive event threshold. This amendment pre-specifies M≥5.5 for Hayward. This is a deliberate, scientifically justified deviation documented before any data is examined.</w:t>
      </w:r>
    </w:p>
    <w:p>
      <w:pPr>
        <w:spacing w:after="60" w:before="60"/>
      </w:pPr>
      <w:r>
        <w:t xml:space="preserve"/>
      </w:r>
    </w:p>
    <w:p>
      <w:pPr>
        <w:pStyle w:val="Heading2"/>
        <w:spacing w:after="120" w:before="240"/>
      </w:pPr>
      <w:r>
        <w:rPr>
          <w:rFonts w:ascii="Arial" w:cs="Arial" w:eastAsia="Arial" w:hAnsi="Arial"/>
          <w:b/>
          <w:bCs/>
          <w:color w:val="2E5596"/>
          <w:sz w:val="24"/>
          <w:szCs w:val="24"/>
        </w:rPr>
        <w:t xml:space="preserve">Justification</w:t>
      </w:r>
    </w:p>
    <w:p>
      <w:pPr>
        <w:pStyle w:val="ListParagraph"/>
        <w:numPr>
          <w:ilvl w:val="0"/>
          <w:numId w:val="2"/>
        </w:numPr>
        <w:spacing w:after="60" w:before="60"/>
      </w:pPr>
      <w:r>
        <w:rPr>
          <w:rFonts w:ascii="Arial" w:cs="Arial" w:eastAsia="Arial" w:hAnsi="Arial"/>
          <w:sz w:val="22"/>
          <w:szCs w:val="22"/>
        </w:rPr>
        <w:t xml:space="preserve">Event rate: The Hayward fault produces M≥5.5 events at a substantially higher rate than M≥6.0 events. Analysis of the NCSN catalog indicates approximately 3–4 M≥5.5 events per decade in the Hayward bounding box versus fewer than 1 M≥6.0 event per decade. The walk-forward protocol requires a minimum of 3 positive training events and 5 positive test events across 10 annual folds. At M≥6.0, Hayward would almost certainly fail the minimum data density threshold (SKIP_NO_TEST_POSITIVES) across most folds, replicating the data coverage problem observed in Cascadia (3 valid folds) and Sumatra-Andaman (2 valid folds).</w:t>
      </w:r>
    </w:p>
    <w:p>
      <w:pPr>
        <w:pStyle w:val="ListParagraph"/>
        <w:numPr>
          <w:ilvl w:val="0"/>
          <w:numId w:val="2"/>
        </w:numPr>
        <w:spacing w:after="60" w:before="60"/>
      </w:pPr>
      <w:r>
        <w:rPr>
          <w:rFonts w:ascii="Arial" w:cs="Arial" w:eastAsia="Arial" w:hAnsi="Arial"/>
          <w:sz w:val="22"/>
          <w:szCs w:val="22"/>
        </w:rPr>
        <w:t xml:space="preserve">Precedent within Sentinel: The North Anatolian pre-registered zone applied a M≥6.0 threshold with label_7d_m60 as an alternative label definition, acknowledging that magnitude threshold selection is fault-specific. Hayward’s lower threshold follows the same logic: the threshold is set to the lowest magnitude that remains scientifically meaningful for precursor detection while ensuring adequate event density for the walk-forward protocol.</w:t>
      </w:r>
    </w:p>
    <w:p>
      <w:pPr>
        <w:pStyle w:val="ListParagraph"/>
        <w:numPr>
          <w:ilvl w:val="0"/>
          <w:numId w:val="2"/>
        </w:numPr>
        <w:spacing w:after="60" w:before="60"/>
      </w:pPr>
      <w:r>
        <w:rPr>
          <w:rFonts w:ascii="Arial" w:cs="Arial" w:eastAsia="Arial" w:hAnsi="Arial"/>
          <w:sz w:val="22"/>
          <w:szCs w:val="22"/>
        </w:rPr>
        <w:t xml:space="preserve">Literature support: Published geophysical precursor studies on California faults routinely use M≥5.0–5.5 thresholds given the Bay Area’s lower seismicity rate relative to subduction zones (e.g., Heavlin et al. 2022, JGR Solid Earth, used M≥4.0 for ground-based ULF magnetometer analysis in the Bay Area).</w:t>
      </w:r>
    </w:p>
    <w:p>
      <w:pPr>
        <w:spacing w:after="60" w:before="60"/>
      </w:pPr>
      <w:r>
        <w:t xml:space="preserve"/>
      </w:r>
    </w:p>
    <w:p>
      <w:pPr>
        <w:spacing w:after="80" w:before="80"/>
      </w:pPr>
      <w:r>
        <w:rPr>
          <w:rFonts w:ascii="Arial" w:cs="Arial" w:eastAsia="Arial" w:hAnsi="Arial"/>
          <w:sz w:val="22"/>
          <w:szCs w:val="22"/>
        </w:rPr>
        <w:t xml:space="preserve">No data has been examined prior to this specification. The M≥5.5 threshold is fixed and may not be changed after this amendment is filed without a further amendment.</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5. Analysis Protocol</w:t>
      </w:r>
    </w:p>
    <w:p>
      <w:pPr>
        <w:spacing w:after="80" w:before="80"/>
      </w:pPr>
      <w:r>
        <w:rPr>
          <w:rFonts w:ascii="Arial" w:cs="Arial" w:eastAsia="Arial" w:hAnsi="Arial"/>
          <w:sz w:val="22"/>
          <w:szCs w:val="22"/>
        </w:rPr>
        <w:t xml:space="preserve">The Hayward exploratory analysis uses an identical protocol to the five pre-registered fault zones in all respects except the magnitude threshold specified in Section 4. No protocol deviations are permitted without a further amendment.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Walk-forward folds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annual folds, training cutoffs 2015–2024 (identical to pre-registered zones)</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Classifier</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XGBoost (identical hyperparameters: n_estimators=300, max_depth=4, lr=0.05)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features: H1 seismic (8), H2 GPS (25), H3 TEC (8), geomagnetic (17)</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Minimum positive train</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 positive events per fold (identical)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positive test pool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positive events across all folds (identical)</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Bootstrap iterations</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1,000 (identical)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threshold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exploratory designation; results are hypothesis-generating only</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Space weather calibration</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Kp, Ap, F10.7, Dst (identical to pre-registered zones)</w:t>
            </w:r>
          </w:p>
        </w:tc>
      </w:tr>
    </w:tbl>
    <w:p>
      <w:pPr>
        <w:spacing w:after="60" w:before="60"/>
      </w:pPr>
      <w:r>
        <w:t xml:space="preserve"/>
      </w:r>
    </w:p>
    <w:p>
      <w:pPr>
        <w:pStyle w:val="Heading1"/>
        <w:spacing w:after="160" w:before="320"/>
      </w:pPr>
      <w:r>
        <w:rPr>
          <w:rFonts w:ascii="Arial" w:cs="Arial" w:eastAsia="Arial" w:hAnsi="Arial"/>
          <w:b/>
          <w:bCs/>
          <w:color w:val="1F3864"/>
          <w:sz w:val="28"/>
          <w:szCs w:val="28"/>
        </w:rPr>
        <w:t xml:space="preserve">6. Pipeline Build Sequence</w:t>
      </w:r>
    </w:p>
    <w:p>
      <w:pPr>
        <w:spacing w:after="80" w:before="80"/>
      </w:pPr>
      <w:r>
        <w:rPr>
          <w:rFonts w:ascii="Arial" w:cs="Arial" w:eastAsia="Arial" w:hAnsi="Arial"/>
          <w:sz w:val="22"/>
          <w:szCs w:val="22"/>
        </w:rPr>
        <w:t xml:space="preserve">The following sequence must be completed in order. No step may begin until the prior step is complete and committed.</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Register Hayward in sentinel_features.fault_systems with geometry specified in Section 3. </w:t>
      </w:r>
      <w:r>
        <w:rPr>
          <w:rFonts w:ascii="Arial" w:cs="Arial" w:eastAsia="Arial" w:hAnsi="Arial"/>
          <w:sz w:val="22"/>
          <w:szCs w:val="22"/>
        </w:rPr>
        <w:t xml:space="preserve">Step 1</w:t>
      </w:r>
    </w:p>
    <w:p>
      <w:pPr>
        <w:pStyle w:val="ListParagraph"/>
        <w:numPr>
          <w:ilvl w:val="0"/>
          <w:numId w:val="2"/>
        </w:numPr>
        <w:spacing w:after="60" w:before="60"/>
      </w:pPr>
      <w:r>
        <w:rPr>
          <w:rFonts w:ascii="Arial" w:cs="Arial" w:eastAsia="Arial" w:hAnsi="Arial"/>
          <w:b/>
          <w:bCs/>
          <w:sz w:val="22"/>
          <w:szCs w:val="22"/>
        </w:rPr>
        <w:t xml:space="preserve">Build H1 seismic features for Hayward from USGS NCSN catalog (M≕2.0, 2001–2025) using existing h1 feature engineering pipeline. Target table: sentinel_features.h1_features_daily. </w:t>
      </w:r>
      <w:r>
        <w:rPr>
          <w:rFonts w:ascii="Arial" w:cs="Arial" w:eastAsia="Arial" w:hAnsi="Arial"/>
          <w:sz w:val="22"/>
          <w:szCs w:val="22"/>
        </w:rPr>
        <w:t xml:space="preserve">Step 2</w:t>
      </w:r>
    </w:p>
    <w:p>
      <w:pPr>
        <w:pStyle w:val="ListParagraph"/>
        <w:numPr>
          <w:ilvl w:val="0"/>
          <w:numId w:val="2"/>
        </w:numPr>
        <w:spacing w:after="60" w:before="60"/>
      </w:pPr>
      <w:r>
        <w:rPr>
          <w:rFonts w:ascii="Arial" w:cs="Arial" w:eastAsia="Arial" w:hAnsi="Arial"/>
          <w:b/>
          <w:bCs/>
          <w:sz w:val="22"/>
          <w:szCs w:val="22"/>
        </w:rPr>
        <w:t xml:space="preserve">Identify BARD/NGL GNSS stations within Hayward bounding box. Download TENV3 displacement files. Process through existing H2 pipeline. Target table: sentinel_features.h2_features_final. </w:t>
      </w:r>
      <w:r>
        <w:rPr>
          <w:rFonts w:ascii="Arial" w:cs="Arial" w:eastAsia="Arial" w:hAnsi="Arial"/>
          <w:sz w:val="22"/>
          <w:szCs w:val="22"/>
        </w:rPr>
        <w:t xml:space="preserve">Step 3</w:t>
      </w:r>
    </w:p>
    <w:p>
      <w:pPr>
        <w:pStyle w:val="ListParagraph"/>
        <w:numPr>
          <w:ilvl w:val="0"/>
          <w:numId w:val="2"/>
        </w:numPr>
        <w:spacing w:after="60" w:before="60"/>
      </w:pPr>
      <w:r>
        <w:rPr>
          <w:rFonts w:ascii="Arial" w:cs="Arial" w:eastAsia="Arial" w:hAnsi="Arial"/>
          <w:b/>
          <w:bCs/>
          <w:sz w:val="22"/>
          <w:szCs w:val="22"/>
        </w:rPr>
        <w:t xml:space="preserve">Build hgeo features for Hayward. Kp/Ap/Dst/F10.7 are global — the pipeline extension adds Hayward as a spatial grouping key in sentinel_features.hgeo_features_final. Local H-component z-scores computed using nearest INTERMAGNET stations (BOU or SJG as fallback). </w:t>
      </w:r>
      <w:r>
        <w:rPr>
          <w:rFonts w:ascii="Arial" w:cs="Arial" w:eastAsia="Arial" w:hAnsi="Arial"/>
          <w:sz w:val="22"/>
          <w:szCs w:val="22"/>
        </w:rPr>
        <w:t xml:space="preserve">Step 4</w:t>
      </w:r>
    </w:p>
    <w:p>
      <w:pPr>
        <w:pStyle w:val="ListParagraph"/>
        <w:numPr>
          <w:ilvl w:val="0"/>
          <w:numId w:val="2"/>
        </w:numPr>
        <w:spacing w:after="60" w:before="60"/>
      </w:pPr>
      <w:r>
        <w:rPr>
          <w:rFonts w:ascii="Arial" w:cs="Arial" w:eastAsia="Arial" w:hAnsi="Arial"/>
          <w:b/>
          <w:bCs/>
          <w:sz w:val="22"/>
          <w:szCs w:val="22"/>
        </w:rPr>
        <w:t xml:space="preserve">Re-run h4_01_build_features.sql. With Hayward present in all four upstream tables, the join produces feature rows automatically. No SQL changes required. </w:t>
      </w:r>
      <w:r>
        <w:rPr>
          <w:rFonts w:ascii="Arial" w:cs="Arial" w:eastAsia="Arial" w:hAnsi="Arial"/>
          <w:sz w:val="22"/>
          <w:szCs w:val="22"/>
        </w:rPr>
        <w:t xml:space="preserve">Step 5</w:t>
      </w:r>
    </w:p>
    <w:p>
      <w:pPr>
        <w:pStyle w:val="ListParagraph"/>
        <w:numPr>
          <w:ilvl w:val="0"/>
          <w:numId w:val="2"/>
        </w:numPr>
        <w:spacing w:after="60" w:before="60"/>
      </w:pPr>
      <w:r>
        <w:rPr>
          <w:rFonts w:ascii="Arial" w:cs="Arial" w:eastAsia="Arial" w:hAnsi="Arial"/>
          <w:b/>
          <w:bCs/>
          <w:sz w:val="22"/>
          <w:szCs w:val="22"/>
        </w:rPr>
        <w:t xml:space="preserve">Re-run h4_02_walk_forward.py with no script changes. Hayward will run as an exploratory fault (is_exploratory=1) and results will write to sentinel_eval.h4_wf_results. </w:t>
      </w:r>
      <w:r>
        <w:rPr>
          <w:rFonts w:ascii="Arial" w:cs="Arial" w:eastAsia="Arial" w:hAnsi="Arial"/>
          <w:sz w:val="22"/>
          <w:szCs w:val="22"/>
        </w:rPr>
        <w:t xml:space="preserve">Step 6</w:t>
      </w:r>
    </w:p>
    <w:p>
      <w:pPr>
        <w:pStyle w:val="ListParagraph"/>
        <w:numPr>
          <w:ilvl w:val="0"/>
          <w:numId w:val="2"/>
        </w:numPr>
        <w:spacing w:after="60" w:before="60"/>
      </w:pPr>
      <w:r>
        <w:rPr>
          <w:rFonts w:ascii="Arial" w:cs="Arial" w:eastAsia="Arial" w:hAnsi="Arial"/>
          <w:b/>
          <w:bCs/>
          <w:sz w:val="22"/>
          <w:szCs w:val="22"/>
        </w:rPr>
        <w:t xml:space="preserve">Export updated results JSON, commit to preregistration/, file Amendment #8 completion note on OSF. </w:t>
      </w:r>
      <w:r>
        <w:rPr>
          <w:rFonts w:ascii="Arial" w:cs="Arial" w:eastAsia="Arial" w:hAnsi="Arial"/>
          <w:sz w:val="22"/>
          <w:szCs w:val="22"/>
        </w:rPr>
        <w:t xml:space="preserve">Step 7</w:t>
      </w:r>
    </w:p>
    <w:p>
      <w:pPr>
        <w:pStyle w:val="ListParagraph"/>
        <w:numPr>
          <w:ilvl w:val="0"/>
          <w:numId w:val="2"/>
        </w:numPr>
        <w:spacing w:after="60" w:before="60"/>
      </w:pPr>
      <w:r>
        <w:rPr>
          <w:rFonts w:ascii="Arial" w:cs="Arial" w:eastAsia="Arial" w:hAnsi="Arial"/>
          <w:b/>
          <w:bCs/>
          <w:sz w:val="22"/>
          <w:szCs w:val="22"/>
        </w:rPr>
        <w:t xml:space="preserve">Run sentinel_audit.sh at start and end of each pipeline build session per standing protocol. </w:t>
      </w:r>
      <w:r>
        <w:rPr>
          <w:rFonts w:ascii="Arial" w:cs="Arial" w:eastAsia="Arial" w:hAnsi="Arial"/>
          <w:sz w:val="22"/>
          <w:szCs w:val="22"/>
        </w:rPr>
        <w:t xml:space="preserve">Step 8</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7. Reporting Requirements</w:t>
      </w:r>
    </w:p>
    <w:p>
      <w:pPr>
        <w:spacing w:after="80" w:before="80"/>
      </w:pPr>
      <w:r>
        <w:rPr>
          <w:rFonts w:ascii="Arial" w:cs="Arial" w:eastAsia="Arial" w:hAnsi="Arial"/>
          <w:sz w:val="22"/>
          <w:szCs w:val="22"/>
        </w:rPr>
        <w:t xml:space="preserve">Regardless of result, the Hayward analysis must be reported in full with the following constraints: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The exploratory designation must be stated explicitly in any presentation or publication — in the abstract, results table, and discussion.</w:t>
      </w:r>
    </w:p>
    <w:p>
      <w:pPr>
        <w:pStyle w:val="ListParagraph"/>
        <w:numPr>
          <w:ilvl w:val="0"/>
          <w:numId w:val="2"/>
        </w:numPr>
        <w:spacing w:after="60" w:before="60"/>
      </w:pPr>
      <w:r>
        <w:rPr>
          <w:rFonts w:ascii="Arial" w:cs="Arial" w:eastAsia="Arial" w:hAnsi="Arial"/>
          <w:sz w:val="22"/>
          <w:szCs w:val="22"/>
        </w:rPr>
        <w:t xml:space="preserve">Results must not be used to claim confirmation of any hypothesis. Positive results (AUROC above threshold) must be framed as hypothesis-generating and warranting prospective pre-registered follow-up.</w:t>
      </w:r>
    </w:p>
    <w:p>
      <w:pPr>
        <w:pStyle w:val="ListParagraph"/>
        <w:numPr>
          <w:ilvl w:val="0"/>
          <w:numId w:val="2"/>
        </w:numPr>
        <w:spacing w:after="60" w:before="60"/>
      </w:pPr>
      <w:r>
        <w:rPr>
          <w:rFonts w:ascii="Arial" w:cs="Arial" w:eastAsia="Arial" w:hAnsi="Arial"/>
          <w:sz w:val="22"/>
          <w:szCs w:val="22"/>
        </w:rPr>
        <w:t xml:space="preserve">Null results must not be framed as evidence against precursor signals on the Hayward fault, given the exploratory and underpowered nature of the analysis.</w:t>
      </w:r>
    </w:p>
    <w:p>
      <w:pPr>
        <w:pStyle w:val="ListParagraph"/>
        <w:numPr>
          <w:ilvl w:val="0"/>
          <w:numId w:val="2"/>
        </w:numPr>
        <w:spacing w:after="60" w:before="60"/>
      </w:pPr>
      <w:r>
        <w:rPr>
          <w:rFonts w:ascii="Arial" w:cs="Arial" w:eastAsia="Arial" w:hAnsi="Arial"/>
          <w:sz w:val="22"/>
          <w:szCs w:val="22"/>
        </w:rPr>
        <w:t xml:space="preserve">The magnitude threshold deviation (M≥5.5 vs M≥6.0) must be disclosed and justified wherever results are reported.</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8. Relationship to Prior Amendments</w:t>
      </w:r>
    </w:p>
    <w:p>
      <w:pPr>
        <w:spacing w:after="80" w:before="80"/>
      </w:pPr>
      <w:r>
        <w:rPr>
          <w:rFonts w:ascii="Arial" w:cs="Arial" w:eastAsia="Arial" w:hAnsi="Arial"/>
          <w:sz w:val="22"/>
          <w:szCs w:val="22"/>
        </w:rPr>
        <w:t xml:space="preserve">This amendment extends the H4 multi-stream convergence analysis pre-registered under commit f172953 and Amendment #1 (496ebf1). The Hayward exploratory designation was established prior to H4 execution under commit ca051fb (May 5, 2026). This amendment provides the full pre-registration specification required before pipeline build begins.</w:t>
      </w:r>
    </w:p>
    <w:p>
      <w:pPr>
        <w:spacing w:after="60" w:before="60"/>
      </w:pPr>
      <w:r>
        <w:t xml:space="preserve"/>
      </w:r>
    </w:p>
    <w:p>
      <w:pPr>
        <w:spacing w:after="80" w:before="80"/>
      </w:pPr>
      <w:r>
        <w:rPr>
          <w:rFonts w:ascii="Arial" w:cs="Arial" w:eastAsia="Arial" w:hAnsi="Arial"/>
          <w:sz w:val="22"/>
          <w:szCs w:val="22"/>
        </w:rPr>
        <w:t xml:space="preserve">Amendment #7 (H4 completion note, May 13 2026, commit </w:t>
      </w:r>
      <w:r>
        <w:rPr>
          <w:rFonts w:ascii="Arial" w:cs="Arial" w:eastAsia="Arial" w:hAnsi="Arial"/>
          <w:sz w:val="22"/>
          <w:szCs w:val="22"/>
        </w:rPr>
      </w:r>
      <w:r>
        <w:rPr>
          <w:rFonts w:ascii="Arial" w:cs="Arial" w:eastAsia="Arial" w:hAnsi="Arial"/>
          <w:sz w:val="22"/>
          <w:szCs w:val="22"/>
        </w:rPr>
        <w:t xml:space="preserve">) documents the H4 walk-forward execution across the five pre-registered zones and the absence of Hayward data at time of execution. This amendment (Amendment #8) is the pre-registration required before Hayward data is built.</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9. Commit References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2E55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pre-registration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f172953</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Amendment #1 — walk-forward protocol</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496ebf1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Hayward exploratory designation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ca051fb</w:t>
            </w:r>
          </w:p>
        </w:tc>
      </w:tr>
      <w:tr>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Amendment #7 — H4 completion note</w:t>
            </w:r>
          </w:p>
        </w:tc>
        <w:tc>
          <w:tcPr>
            <w:tcW w:type="dxa" w:w="5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bfeca65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amendment (Amendment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commit)</w:t>
            </w:r>
          </w:p>
        </w:tc>
      </w:tr>
    </w:tbl>
    <w:p>
      <w:pPr>
        <w:spacing w:after="60" w:before="60"/>
      </w:pPr>
      <w:r>
        <w:t xml:space="preserve"/>
      </w:r>
    </w:p>
    <w:p>
      <w:pPr>
        <w:pBdr>
          <w:bottom w:val="single" w:color="2E5596" w:sz="6" w:space="1"/>
        </w:pBdr>
        <w:spacing w:after="120" w:before="120"/>
      </w:pPr>
      <w:r>
        <w:t xml:space="preserve"/>
      </w:r>
    </w:p>
    <w:p>
      <w:pPr>
        <w:spacing w:after="0" w:before="120"/>
        <w:jc w:val="center"/>
      </w:pPr>
      <w:r>
        <w:rPr>
          <w:rFonts w:ascii="Arial" w:cs="Arial" w:eastAsia="Arial" w:hAnsi="Arial"/>
          <w:color w:val="888888"/>
          <w:sz w:val="18"/>
          <w:szCs w:val="18"/>
        </w:rPr>
        <w:t xml:space="preserve">The Synexis Project  |  github.com/synexisproject-bit/project-sentinel  |  osf.io/8hvf6</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Project Sentinel | Amendment #8 | osf.io/8hvf6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2026-05-14T04:14:53.865Z</dcterms:created>
  <dcterms:modified xsi:type="dcterms:W3CDTF">2026-05-14T04:14:53.865Z</dcterms:modified>
</cp:coreProperties>
</file>

<file path=docProps/custom.xml><?xml version="1.0" encoding="utf-8"?>
<Properties xmlns="http://schemas.openxmlformats.org/officeDocument/2006/custom-properties" xmlns:vt="http://schemas.openxmlformats.org/officeDocument/2006/docPropsVTypes"/>
</file>