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TECHNICAL PROJECT STATE REVIEW</w:t>
      </w:r>
    </w:p>
    <w:p>
      <w:pPr>
        <w:pStyle w:val="Title"/>
      </w:pPr>
      <w:r>
        <w:t>COVID-19 Data Integration, Analysis, and Visualization Platform</w:t>
      </w:r>
    </w:p>
    <w:p>
      <w:pPr>
        <w:pStyle w:val="Subtitle"/>
      </w:pPr>
      <w:r>
        <w:t>Requirement coverage, engineering quality, analytical evidence, and submission readiness</w:t>
      </w:r>
    </w:p>
    <w:p>
      <w:pPr>
        <w:spacing w:after="40"/>
      </w:pPr>
      <w:r>
        <w:rPr>
          <w:rFonts w:ascii="Calibri" w:hAnsi="Calibri"/>
          <w:b/>
          <w:color w:val="1F2933"/>
          <w:sz w:val="21"/>
        </w:rPr>
        <w:t xml:space="preserve">Student: </w:t>
      </w:r>
      <w:r>
        <w:rPr>
          <w:rFonts w:ascii="Calibri" w:hAnsi="Calibri"/>
          <w:color w:val="1F2933"/>
          <w:sz w:val="21"/>
        </w:rPr>
        <w:t>Nestor Kulik</w:t>
      </w:r>
    </w:p>
    <w:p>
      <w:pPr>
        <w:spacing w:after="40"/>
      </w:pPr>
      <w:r>
        <w:rPr>
          <w:rFonts w:ascii="Calibri" w:hAnsi="Calibri"/>
          <w:b/>
          <w:color w:val="1F2933"/>
          <w:sz w:val="21"/>
        </w:rPr>
        <w:t xml:space="preserve">Repository: </w:t>
      </w:r>
      <w:r>
        <w:rPr>
          <w:rFonts w:ascii="Calibri" w:hAnsi="Calibri"/>
          <w:color w:val="1F2933"/>
          <w:sz w:val="21"/>
        </w:rPr>
        <w:t>github.com/synku20777/bootcamp-project</w:t>
      </w:r>
    </w:p>
    <w:p>
      <w:pPr>
        <w:spacing w:after="40"/>
      </w:pPr>
      <w:r>
        <w:rPr>
          <w:rFonts w:ascii="Calibri" w:hAnsi="Calibri"/>
          <w:b/>
          <w:color w:val="1F2933"/>
          <w:sz w:val="21"/>
        </w:rPr>
        <w:t xml:space="preserve">Reviewed branch: </w:t>
      </w:r>
      <w:r>
        <w:rPr>
          <w:rFonts w:ascii="Calibri" w:hAnsi="Calibri"/>
          <w:color w:val="1F2933"/>
          <w:sz w:val="21"/>
        </w:rPr>
        <w:t>api-works at 36b4267, plus the local working tree</w:t>
      </w:r>
    </w:p>
    <w:p>
      <w:pPr>
        <w:spacing w:after="40"/>
      </w:pPr>
      <w:r>
        <w:rPr>
          <w:rFonts w:ascii="Calibri" w:hAnsi="Calibri"/>
          <w:b/>
          <w:color w:val="1F2933"/>
          <w:sz w:val="21"/>
        </w:rPr>
        <w:t xml:space="preserve">Review date: </w:t>
      </w:r>
      <w:r>
        <w:rPr>
          <w:rFonts w:ascii="Calibri" w:hAnsi="Calibri"/>
          <w:color w:val="1F2933"/>
          <w:sz w:val="21"/>
        </w:rPr>
        <w:t>26 July 2026</w:t>
      </w:r>
    </w:p>
    <w:p>
      <w:pPr>
        <w:spacing w:after="40"/>
      </w:pPr>
      <w:r>
        <w:rPr>
          <w:rFonts w:ascii="Calibri" w:hAnsi="Calibri"/>
          <w:b/>
          <w:color w:val="1F2933"/>
          <w:sz w:val="21"/>
        </w:rPr>
        <w:t xml:space="preserve">Assessment basis: </w:t>
      </w:r>
      <w:r>
        <w:rPr>
          <w:rFonts w:ascii="Calibri" w:hAnsi="Calibri"/>
          <w:color w:val="1F2933"/>
          <w:sz w:val="21"/>
        </w:rPr>
        <w:t>Repository audit, local verification, and live read-only Snowflake checks</w:t>
      </w:r>
    </w:p>
    <w:p>
      <w:pPr>
        <w:pStyle w:val="Evidence"/>
      </w:pPr>
      <w:r>
        <w:t>Identity note: the student name was inferred from the configured repository email. Confirm the spelling before submission.</w:t>
      </w:r>
    </w:p>
    <w:p>
      <w:pPr>
        <w:pStyle w:val="Heading1"/>
      </w:pPr>
      <w:r>
        <w:t>1. Executive assessment</w:t>
      </w:r>
    </w:p>
    <w:p>
      <w:pPr>
        <w:pStyle w:val="CalloutWarning"/>
        <w:shd w:fill="FFF2CC"/>
        <w:pBdr>
          <w:left w:val="single" w:sz="18" w:space="6" w:color="D6A100"/>
        </w:pBdr>
      </w:pPr>
      <w:r>
        <w:rPr>
          <w:b/>
        </w:rPr>
        <w:t xml:space="preserve">Overall state: </w:t>
      </w:r>
      <w:r>
        <w:t>The platform has a credible, working analytical core, but it is not submission-ready against the full brief. Six tasks are complete, three are partial, and the required forecasting task is not implemented.</w:t>
      </w:r>
    </w:p>
    <w:p>
      <w:pPr>
        <w:numPr>
          <w:ilvl w:val="0"/>
          <w:numId w:val="10"/>
        </w:numPr>
        <w:spacing w:after="160" w:line="280" w:lineRule="auto"/>
      </w:pPr>
      <w:r>
        <w:t>Strongest evidence: the Snowflake deployment is live in AWS Stockholm; the resource monitor, X-Small warehouse, marts, pattern view, and least-privilege COVID_APP_ROLE were verified directly.</w:t>
      </w:r>
    </w:p>
    <w:p>
      <w:pPr>
        <w:numPr>
          <w:ilvl w:val="0"/>
          <w:numId w:val="10"/>
        </w:numPr>
        <w:spacing w:after="160" w:line="280" w:lineRule="auto"/>
      </w:pPr>
      <w:r>
        <w:t>Strongest engineering choices: typed FastAPI contracts, bind-parameterized Snowflake access, a MongoDB annotation workflow, Redis budget protection with stampede control, structured logging, and page-level dashboard payloads.</w:t>
      </w:r>
    </w:p>
    <w:p>
      <w:pPr>
        <w:numPr>
          <w:ilvl w:val="0"/>
          <w:numId w:val="10"/>
        </w:numPr>
        <w:spacing w:after="160" w:line="280" w:lineRule="auto"/>
      </w:pPr>
      <w:r>
        <w:t>Primary blockers: no time-series forecasting, no PySpark Bronze/profiling pipeline despite the local engineering brief, no Spark optimization evidence, and no clean-VM system-test proof.</w:t>
      </w:r>
    </w:p>
    <w:p>
      <w:pPr>
        <w:numPr>
          <w:ilvl w:val="0"/>
          <w:numId w:val="10"/>
        </w:numPr>
        <w:spacing w:after="160" w:line="280" w:lineRule="auto"/>
      </w:pPr>
      <w:r>
        <w:t>Submission risk: ten Python files contain approximately 500 inserted lines and 248 removed lines that are not committed or pushed. The remote api-works branch therefore does not reproduce the exact reviewed working tree.</w:t>
      </w:r>
    </w:p>
    <w:p>
      <w:pPr>
        <w:pStyle w:val="Heading1"/>
      </w:pPr>
      <w:r>
        <w:t>2. Review scope and evidence</w:t>
      </w:r>
    </w:p>
    <w:p>
      <w:r>
        <w:t>This review compares the current working tree with the ten assignment tasks, the published evaluation criteria, and the repository's additional engineering brief. Claims are classified by evidence strength so that implemented code is not confused with deployed behavior.</w:t>
      </w:r>
    </w:p>
    <w:tbl>
      <w:tblPr>
        <w:tblStyle w:val="TableGrid"/>
        <w:tblW w:type="dxa" w:w="9360"/>
        <w:jc w:val="left"/>
        <w:tblLayout w:type="fixed"/>
        <w:tblLook w:firstColumn="1" w:firstRow="1" w:lastColumn="0" w:lastRow="0" w:noHBand="0" w:noVBand="1" w:val="04A0"/>
        <w:tblInd w:type="dxa" w:w="120"/>
      </w:tblPr>
      <w:tblGrid>
        <w:gridCol w:w="1800"/>
        <w:gridCol w:w="4660"/>
        <w:gridCol w:w="2900"/>
      </w:tblGrid>
      <w:tr>
        <w:trPr>
          <w:tblHeader w:val="true"/>
        </w:trPr>
        <w:tc>
          <w:tcPr>
            <w:tcW w:type="dxa" w:w="180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Evidence class</w:t>
            </w:r>
          </w:p>
        </w:tc>
        <w:tc>
          <w:tcPr>
            <w:tcW w:type="dxa" w:w="466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What was checked</w:t>
            </w:r>
          </w:p>
        </w:tc>
        <w:tc>
          <w:tcPr>
            <w:tcW w:type="dxa" w:w="290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Result</w:t>
            </w:r>
          </w:p>
        </w:tc>
      </w:tr>
      <w:tr>
        <w:trPr/>
        <w:tc>
          <w:tcPr>
            <w:tcW w:type="dxa" w:w="18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Repository</w:t>
            </w:r>
          </w:p>
        </w:tc>
        <w:tc>
          <w:tcPr>
            <w:tcW w:type="dxa" w:w="4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Python, SQL, Docker, dependency, CI, README, and test files</w:t>
            </w:r>
          </w:p>
        </w:tc>
        <w:tc>
          <w:tcPr>
            <w:tcW w:type="dxa" w:w="29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Reviewed</w:t>
            </w:r>
          </w:p>
        </w:tc>
      </w:tr>
      <w:tr>
        <w:trPr/>
        <w:tc>
          <w:tcPr>
            <w:tcW w:type="dxa" w:w="18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Local execution</w:t>
            </w:r>
          </w:p>
        </w:tc>
        <w:tc>
          <w:tcPr>
            <w:tcW w:type="dxa" w:w="4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21 unit/contract tests; Ruff; isort; uv lock; Compose parse</w:t>
            </w:r>
          </w:p>
        </w:tc>
        <w:tc>
          <w:tcPr>
            <w:tcW w:type="dxa" w:w="2900"/>
            <w:vAlign w:val="center"/>
            <w:shd w:fill="E2F0D9"/>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375623"/>
                <w:sz w:val="18"/>
              </w:rPr>
              <w:t>Pass</w:t>
            </w:r>
          </w:p>
        </w:tc>
      </w:tr>
      <w:tr>
        <w:trPr/>
        <w:tc>
          <w:tcPr>
            <w:tcW w:type="dxa" w:w="18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Live Snowflake</w:t>
            </w:r>
          </w:p>
        </w:tc>
        <w:tc>
          <w:tcPr>
            <w:tcW w:type="dxa" w:w="4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Region, role, warehouse, monitor, objects, coverage, analytics, API role</w:t>
            </w:r>
          </w:p>
        </w:tc>
        <w:tc>
          <w:tcPr>
            <w:tcW w:type="dxa" w:w="2900"/>
            <w:vAlign w:val="center"/>
            <w:shd w:fill="E2F0D9"/>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375623"/>
                <w:sz w:val="18"/>
              </w:rPr>
              <w:t>Pass</w:t>
            </w:r>
          </w:p>
        </w:tc>
      </w:tr>
      <w:tr>
        <w:trPr/>
        <w:tc>
          <w:tcPr>
            <w:tcW w:type="dxa" w:w="18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Runtime stack</w:t>
            </w:r>
          </w:p>
        </w:tc>
        <w:tc>
          <w:tcPr>
            <w:tcW w:type="dxa" w:w="4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Docker engine, MongoDB, Redis, and browser-rendered dashboard</w:t>
            </w:r>
          </w:p>
        </w:tc>
        <w:tc>
          <w:tcPr>
            <w:tcW w:type="dxa" w:w="2900"/>
            <w:vAlign w:val="center"/>
            <w:shd w:fill="FFF2CC"/>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7F6000"/>
                <w:sz w:val="18"/>
              </w:rPr>
              <w:t>Limited</w:t>
            </w:r>
          </w:p>
        </w:tc>
      </w:tr>
    </w:tbl>
    <w:p>
      <w:pPr>
        <w:spacing w:after="20"/>
      </w:pPr>
    </w:p>
    <w:p>
      <w:pPr>
        <w:numPr>
          <w:ilvl w:val="0"/>
          <w:numId w:val="10"/>
        </w:numPr>
        <w:spacing w:after="160" w:line="280" w:lineRule="auto"/>
      </w:pPr>
      <w:r>
        <w:t>Docker Compose configuration parses successfully. The current execution sandbox could not access the Docker Desktop socket, so the four-service stack was not started for this review.</w:t>
      </w:r>
    </w:p>
    <w:p>
      <w:pPr>
        <w:numPr>
          <w:ilvl w:val="0"/>
          <w:numId w:val="10"/>
        </w:numPr>
        <w:spacing w:after="160" w:line="280" w:lineRule="auto"/>
      </w:pPr>
      <w:r>
        <w:t>The tests isolate external systems with fakes or mocks. They are useful contract tests, but they do not prove Snowflake, MongoDB, Redis, API, and Dash work together on a clean virtual machine.</w:t>
      </w:r>
    </w:p>
    <w:p>
      <w:pPr>
        <w:numPr>
          <w:ilvl w:val="0"/>
          <w:numId w:val="10"/>
        </w:numPr>
        <w:spacing w:after="160" w:line="280" w:lineRule="auto"/>
      </w:pPr>
      <w:r>
        <w:t>A multi-file Black check was blocked by Windows sandbox process-manager permissions. Ruff, isort, the lockfile, and all tests passed; this is a verification limitation rather than evidence of a formatting defect.</w:t>
      </w:r>
    </w:p>
    <w:p>
      <w:pPr>
        <w:pStyle w:val="Heading1"/>
      </w:pPr>
      <w:r>
        <w:t>3. Implemented architecture</w:t>
      </w:r>
    </w:p>
    <w:p>
      <w:pPr>
        <w:pStyle w:val="Callout"/>
        <w:shd w:fill="F4F6F9"/>
        <w:pBdr>
          <w:left w:val="single" w:sz="18" w:space="6" w:color="2E74B5"/>
        </w:pBdr>
      </w:pPr>
      <w:r>
        <w:rPr>
          <w:b/>
        </w:rPr>
        <w:t xml:space="preserve">Data flow: </w:t>
      </w:r>
      <w:r>
        <w:t>Snowflake Marketplace ECDC data and World Bank 2020 population data are normalized into Snowflake staging and mart views. FastAPI exposes analytical and annotation contracts; Redis protects analytical queries; MongoDB stores user context; Dash renders API payloads.</w:t>
      </w:r>
    </w:p>
    <w:p>
      <w:pPr>
        <w:numPr>
          <w:ilvl w:val="0"/>
          <w:numId w:val="11"/>
        </w:numPr>
        <w:spacing w:after="160" w:line="280" w:lineRule="auto"/>
      </w:pPr>
      <w:r>
        <w:t>Snowflake Marketplace ECDC_GLOBAL supplies daily cases, deaths, dates, country names, and source codes.</w:t>
      </w:r>
    </w:p>
    <w:p>
      <w:pPr>
        <w:numPr>
          <w:ilvl w:val="0"/>
          <w:numId w:val="11"/>
        </w:numPr>
        <w:spacing w:after="160" w:line="280" w:lineRule="auto"/>
      </w:pPr>
      <w:r>
        <w:t>A mapping table resolves known code/name exceptions; the staging view aggregates duplicate country-date rows and preserves negative source corrections.</w:t>
      </w:r>
    </w:p>
    <w:p>
      <w:pPr>
        <w:numPr>
          <w:ilvl w:val="0"/>
          <w:numId w:val="11"/>
        </w:numPr>
        <w:spacing w:after="160" w:line="280" w:lineRule="auto"/>
      </w:pPr>
      <w:r>
        <w:t>The population loader fetches World Bank 2020 population data with pandas and replaces the RAW population table.</w:t>
      </w:r>
    </w:p>
    <w:p>
      <w:pPr>
        <w:numPr>
          <w:ilvl w:val="0"/>
          <w:numId w:val="11"/>
        </w:numPr>
        <w:spacing w:after="160" w:line="280" w:lineRule="auto"/>
      </w:pPr>
      <w:r>
        <w:t>COVID_ENRICHED joins population to daily COVID data and derives cumulative, per-100,000, mortality, and join-quality metrics.</w:t>
      </w:r>
    </w:p>
    <w:p>
      <w:pPr>
        <w:numPr>
          <w:ilvl w:val="0"/>
          <w:numId w:val="11"/>
        </w:numPr>
        <w:spacing w:after="160" w:line="280" w:lineRule="auto"/>
      </w:pPr>
      <w:r>
        <w:t>COUNTRY_LATEST_METRICS precomputes the latest row per location; CASE_INCREASE_PATTERNS applies MATCH_RECOGNIZE.</w:t>
      </w:r>
    </w:p>
    <w:p>
      <w:pPr>
        <w:numPr>
          <w:ilvl w:val="0"/>
          <w:numId w:val="11"/>
        </w:numPr>
        <w:spacing w:after="160" w:line="280" w:lineRule="auto"/>
      </w:pPr>
      <w:r>
        <w:t>FastAPI repository methods execute one bounded Snowflake statement, services validate/shape results, and Pydantic models enforce response contracts.</w:t>
      </w:r>
    </w:p>
    <w:p>
      <w:pPr>
        <w:numPr>
          <w:ilvl w:val="0"/>
          <w:numId w:val="11"/>
        </w:numPr>
        <w:spacing w:after="160" w:line="280" w:lineRule="auto"/>
      </w:pPr>
      <w:r>
        <w:t>Redis caches successful analytical payloads and uses a per-key lock; MongoDB stores canonical annotations; Dash fetches one page payload and fans it out through browser stores.</w:t>
      </w:r>
    </w:p>
    <w:p>
      <w:r>
        <w:br w:type="page"/>
      </w:r>
    </w:p>
    <w:p>
      <w:pPr>
        <w:pStyle w:val="Heading1"/>
      </w:pPr>
      <w:r>
        <w:t>4. Assignment task compliance matrix</w:t>
      </w:r>
    </w:p>
    <w:tbl>
      <w:tblPr>
        <w:tblStyle w:val="TableGrid"/>
        <w:tblW w:type="dxa" w:w="9360"/>
        <w:jc w:val="left"/>
        <w:tblLayout w:type="fixed"/>
        <w:tblLook w:firstColumn="1" w:firstRow="1" w:lastColumn="0" w:lastRow="0" w:noHBand="0" w:noVBand="1" w:val="04A0"/>
        <w:tblInd w:type="dxa" w:w="120"/>
      </w:tblPr>
      <w:tblGrid>
        <w:gridCol w:w="980"/>
        <w:gridCol w:w="980"/>
        <w:gridCol w:w="3480"/>
        <w:gridCol w:w="3920"/>
      </w:tblGrid>
      <w:tr>
        <w:trPr>
          <w:tblHeader w:val="true"/>
        </w:trPr>
        <w:tc>
          <w:tcPr>
            <w:tcW w:type="dxa" w:w="98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Task</w:t>
            </w:r>
          </w:p>
        </w:tc>
        <w:tc>
          <w:tcPr>
            <w:tcW w:type="dxa" w:w="98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Status</w:t>
            </w:r>
          </w:p>
        </w:tc>
        <w:tc>
          <w:tcPr>
            <w:tcW w:type="dxa" w:w="348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Implemented evidence</w:t>
            </w:r>
          </w:p>
        </w:tc>
        <w:tc>
          <w:tcPr>
            <w:tcW w:type="dxa" w:w="392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Gap or qualification</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1. Marketplace + monitor</w:t>
            </w:r>
          </w:p>
        </w:tc>
        <w:tc>
          <w:tcPr>
            <w:tcW w:type="dxa" w:w="980"/>
            <w:vAlign w:val="center"/>
            <w:shd w:fill="E2F0D9"/>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375623"/>
                <w:sz w:val="18"/>
              </w:rPr>
              <w:t>Complete</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Marketplace ECDC source, live Stockholm deployment, 5-credit monitor, X-Small warehouse</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Marketplace installation remains a manual account prerequisite</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2. Exploration + enhancement</w:t>
            </w:r>
          </w:p>
        </w:tc>
        <w:tc>
          <w:tcPr>
            <w:tcW w:type="dxa" w:w="980"/>
            <w:vAlign w:val="center"/>
            <w:shd w:fill="FFF2CC"/>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7F6000"/>
                <w:sz w:val="18"/>
              </w:rPr>
              <w:t>Partial</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SQL quality checks, mapping, World Bank population join, four EDA exports</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No automated profiler, PySpark Bronze layer, orchestration, or broader economic/demographic enrichment</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3. NoSQL model</w:t>
            </w:r>
          </w:p>
        </w:tc>
        <w:tc>
          <w:tcPr>
            <w:tcW w:type="dxa" w:w="980"/>
            <w:vAlign w:val="center"/>
            <w:shd w:fill="E2F0D9"/>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375623"/>
                <w:sz w:val="18"/>
              </w:rPr>
              <w:t>Complete</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MongoDB annotations, Pydantic validation, canonical country/date resolution, two compound indexes</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No database-side JSON Schema validator; only create/list operations</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4. Python API</w:t>
            </w:r>
          </w:p>
        </w:tc>
        <w:tc>
          <w:tcPr>
            <w:tcW w:type="dxa" w:w="980"/>
            <w:vAlign w:val="center"/>
            <w:shd w:fill="E2F0D9"/>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375623"/>
                <w:sz w:val="18"/>
              </w:rPr>
              <w:t>Complete</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FastAPI health, overview, country, time-series, compare, and annotation routes</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External integration behavior is not covered by system tests</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5. Interactive visualization</w:t>
            </w:r>
          </w:p>
        </w:tc>
        <w:tc>
          <w:tcPr>
            <w:tcW w:type="dxa" w:w="980"/>
            <w:vAlign w:val="center"/>
            <w:shd w:fill="E2F0D9"/>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375623"/>
                <w:sz w:val="18"/>
              </w:rPr>
              <w:t>Complete</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Dash status, overview, country, comparison, and annotation pages with Plotly</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No demographic breakdown, forecast view, uncertainty, source notes, or browser QA in this review</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6. Forecasting / clustering</w:t>
            </w:r>
          </w:p>
        </w:tc>
        <w:tc>
          <w:tcPr>
            <w:tcW w:type="dxa" w:w="980"/>
            <w:vAlign w:val="center"/>
            <w:shd w:fill="FCE4D6"/>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9C0006"/>
                <w:sz w:val="18"/>
              </w:rPr>
              <w:t>Missing</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README explicitly declares both out of scope</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Forecasting is required; clustering is bonus</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7. Snowflake optimization</w:t>
            </w:r>
          </w:p>
        </w:tc>
        <w:tc>
          <w:tcPr>
            <w:tcW w:type="dxa" w:w="980"/>
            <w:vAlign w:val="center"/>
            <w:shd w:fill="FFF2CC"/>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7F6000"/>
                <w:sz w:val="18"/>
              </w:rPr>
              <w:t>Partial</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X-Small/auto-suspend, monitor, transient latest snapshot, bounded queries, consolidated page endpoints</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No query-profile baseline, benchmark, explicit timeout/query tag, refresh automation, or optimization decision record</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8. API caching</w:t>
            </w:r>
          </w:p>
        </w:tc>
        <w:tc>
          <w:tcPr>
            <w:tcW w:type="dxa" w:w="980"/>
            <w:vAlign w:val="center"/>
            <w:shd w:fill="E2F0D9"/>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375623"/>
                <w:sz w:val="18"/>
              </w:rPr>
              <w:t>Complete</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Redis TTLs, canonical keys, model validation, prefix invalidation, fail-closed policy, per-key locks</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Availability is traded for cost control; lock lease is fixed at 30 seconds</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9. Pattern identification</w:t>
            </w:r>
          </w:p>
        </w:tc>
        <w:tc>
          <w:tcPr>
            <w:tcW w:type="dxa" w:w="980"/>
            <w:vAlign w:val="center"/>
            <w:shd w:fill="E2F0D9"/>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375623"/>
                <w:sz w:val="18"/>
              </w:rPr>
              <w:t>Complete</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MATCH_RECOGNIZE view; live output: 1,769 patterns across 170 locations</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Needs interpretation notes and sensitivity checks for reporting corrections</w:t>
            </w:r>
          </w:p>
        </w:tc>
      </w:tr>
      <w:tr>
        <w:trPr/>
        <w:tc>
          <w:tcPr>
            <w:tcW w:type="dxa" w:w="9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10. GitHub / configuration</w:t>
            </w:r>
          </w:p>
        </w:tc>
        <w:tc>
          <w:tcPr>
            <w:tcW w:type="dxa" w:w="980"/>
            <w:vAlign w:val="center"/>
            <w:shd w:fill="FFF2CC"/>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7F6000"/>
                <w:sz w:val="18"/>
              </w:rPr>
              <w:t>Partial</w:t>
            </w:r>
          </w:p>
        </w:tc>
        <w:tc>
          <w:tcPr>
            <w:tcW w:type="dxa" w:w="348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Remote repository, Docker, uv lock, environment template, CI workflow, extensive README</w:t>
            </w:r>
          </w:p>
        </w:tc>
        <w:tc>
          <w:tcPr>
            <w:tcW w:type="dxa" w:w="392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Reviewed working tree is dirty and not reproducible from the remote branch</w:t>
            </w:r>
          </w:p>
        </w:tc>
      </w:tr>
    </w:tbl>
    <w:p>
      <w:pPr>
        <w:spacing w:after="20"/>
      </w:pPr>
    </w:p>
    <w:p>
      <w:pPr>
        <w:pStyle w:val="Heading1"/>
      </w:pPr>
      <w:r>
        <w:t>5. Requirement-by-requirement findings</w:t>
      </w:r>
    </w:p>
    <w:p>
      <w:pPr>
        <w:pStyle w:val="Heading2"/>
      </w:pPr>
      <w:r>
        <w:t>5.1 Data acquisition, exploration, and integration</w:t>
      </w:r>
    </w:p>
    <w:p>
      <w:pPr>
        <w:keepLines/>
      </w:pPr>
      <w:r>
        <w:rPr>
          <w:rFonts w:ascii="Calibri" w:hAnsi="Calibri"/>
          <w:b/>
          <w:color w:val="1F4D78"/>
        </w:rPr>
        <w:t xml:space="preserve">Evidence. </w:t>
      </w:r>
      <w:r>
        <w:t>sql/00_project_setup.sql through sql/05_create_enriched_view.sql implement setup, source discovery, quality checks, code normalization, cumulative logic, population enrichment, and post-load verification. scripts/load_population.py retrieves and loads 217 World Bank country records.</w:t>
      </w:r>
    </w:p>
    <w:p>
      <w:pPr>
        <w:keepLines/>
      </w:pPr>
      <w:r>
        <w:rPr>
          <w:rFonts w:ascii="Calibri" w:hAnsi="Calibri"/>
          <w:b/>
          <w:color w:val="1F4D78"/>
        </w:rPr>
        <w:t xml:space="preserve">Why the design is sound. </w:t>
      </w:r>
      <w:r>
        <w:t>Joining on stable ISO identifiers is safer than relying on country names. Preserving negative daily corrections retains source fidelity, while explicit correction flags let analysts exclude or explain them downstream.</w:t>
      </w:r>
    </w:p>
    <w:p>
      <w:pPr>
        <w:keepLines/>
      </w:pPr>
      <w:r>
        <w:rPr>
          <w:rFonts w:ascii="Calibri" w:hAnsi="Calibri"/>
          <w:b/>
          <w:color w:val="1F4D78"/>
        </w:rPr>
        <w:t xml:space="preserve">Trade-off. </w:t>
      </w:r>
      <w:r>
        <w:t>The loader uses CREATE OR REPLACE TABLE before write_pandas. This is simple and repeatable, but a failed load can replace a good table with an empty or incomplete one. A staged load plus swap would make refreshes atomic.</w:t>
      </w:r>
    </w:p>
    <w:p>
      <w:pPr>
        <w:keepLines/>
      </w:pPr>
      <w:r>
        <w:rPr>
          <w:rFonts w:ascii="Calibri" w:hAnsi="Calibri"/>
          <w:b/>
          <w:color w:val="1F4D78"/>
        </w:rPr>
        <w:t xml:space="preserve">Gap. </w:t>
      </w:r>
      <w:r>
        <w:t>The EDA automation consists of four fixed SQL exports. It is not a general profiler and does not calculate schema drift, distributions, quantiles, outliers, correlations, or quality thresholds. The mandatory PySpark Bronze path is absent.</w:t>
      </w:r>
    </w:p>
    <w:p>
      <w:pPr>
        <w:pStyle w:val="Heading2"/>
      </w:pPr>
      <w:r>
        <w:t>5.2 NoSQL and API</w:t>
      </w:r>
    </w:p>
    <w:p>
      <w:pPr>
        <w:keepLines/>
      </w:pPr>
      <w:r>
        <w:rPr>
          <w:rFonts w:ascii="Calibri" w:hAnsi="Calibri"/>
          <w:b/>
          <w:color w:val="1F4D78"/>
        </w:rPr>
        <w:t xml:space="preserve">Evidence. </w:t>
      </w:r>
      <w:r>
        <w:t>Annotations are validated against a real Snowflake location/date, then stored in MongoDB with canonical country and location identifiers. FastAPI separates routes, services, repositories, configuration, domain errors, and models.</w:t>
      </w:r>
    </w:p>
    <w:p>
      <w:pPr>
        <w:keepLines/>
      </w:pPr>
      <w:r>
        <w:rPr>
          <w:rFonts w:ascii="Calibri" w:hAnsi="Calibri"/>
          <w:b/>
          <w:color w:val="1F4D78"/>
        </w:rPr>
        <w:t xml:space="preserve">Why the design is sound. </w:t>
      </w:r>
      <w:r>
        <w:t>Snowflake remains the analytical source of truth while MongoDB owns user-generated, semi-structured context. The API boundary prevents Dash from holding data credentials and centralizes validation and cache policy.</w:t>
      </w:r>
    </w:p>
    <w:p>
      <w:pPr>
        <w:keepLines/>
      </w:pPr>
      <w:r>
        <w:rPr>
          <w:rFonts w:ascii="Calibri" w:hAnsi="Calibri"/>
          <w:b/>
          <w:color w:val="1F4D78"/>
        </w:rPr>
        <w:t xml:space="preserve">Security and correctness. </w:t>
      </w:r>
      <w:r>
        <w:t>Metric column interpolation is constrained by an enum-to-column allowlist; user identifiers and dates are bind parameters. The live COVID_APP_ROLE can read the mart and has no object-creation path in the application code.</w:t>
      </w:r>
    </w:p>
    <w:p>
      <w:pPr>
        <w:keepLines/>
      </w:pPr>
      <w:r>
        <w:rPr>
          <w:rFonts w:ascii="Calibri" w:hAnsi="Calibri"/>
          <w:b/>
          <w:color w:val="1F4D78"/>
        </w:rPr>
        <w:t xml:space="preserve">Gap. </w:t>
      </w:r>
      <w:r>
        <w:t>MongoDB does not enforce its own JSON Schema. Authentication, rate limits, edit/delete workflows, moderation, and pagination are not implemented; these are acceptable bootcamp trade-offs only if explicitly documented.</w:t>
      </w:r>
    </w:p>
    <w:p>
      <w:pPr>
        <w:pStyle w:val="Heading2"/>
      </w:pPr>
      <w:r>
        <w:t>5.3 Visualization and analytical features</w:t>
      </w:r>
    </w:p>
    <w:p>
      <w:pPr>
        <w:keepLines/>
      </w:pPr>
      <w:r>
        <w:rPr>
          <w:rFonts w:ascii="Calibri" w:hAnsi="Calibri"/>
          <w:b/>
          <w:color w:val="1F4D78"/>
        </w:rPr>
        <w:t xml:space="preserve">Evidence. </w:t>
      </w:r>
      <w:r>
        <w:t>The dashboard provides global KPIs, raw top-ten bars, a per-capita choropleth, country metrics, daily case/death bars, multi-country normalized comparisons, and annotation creation/listing.</w:t>
      </w:r>
    </w:p>
    <w:p>
      <w:pPr>
        <w:keepLines/>
      </w:pPr>
      <w:r>
        <w:rPr>
          <w:rFonts w:ascii="Calibri" w:hAnsi="Calibri"/>
          <w:b/>
          <w:color w:val="1F4D78"/>
        </w:rPr>
        <w:t xml:space="preserve">Why the design is efficient. </w:t>
      </w:r>
      <w:r>
        <w:t>Combined page endpoints and dcc.Store prevent each KPI and chart from issuing its own Snowflake-backed request. That reduces latency, cache fragmentation, and accidental credit consumption.</w:t>
      </w:r>
    </w:p>
    <w:p>
      <w:pPr>
        <w:keepLines/>
      </w:pPr>
      <w:r>
        <w:rPr>
          <w:rFonts w:ascii="Calibri" w:hAnsi="Calibri"/>
          <w:b/>
          <w:color w:val="1F4D78"/>
        </w:rPr>
        <w:t xml:space="preserve">Gap. </w:t>
      </w:r>
      <w:r>
        <w:t>Task 6 forecasting is not implemented. The dashboard also lacks demographic breakdowns, forecast uncertainty, data-source/caveat text, and an analytical narrative explaining what the charts imply.</w:t>
      </w:r>
    </w:p>
    <w:p>
      <w:pPr>
        <w:numPr>
          <w:ilvl w:val="0"/>
          <w:numId w:val="10"/>
        </w:numPr>
        <w:spacing w:after="160" w:line="280" w:lineRule="auto"/>
      </w:pPr>
      <w:r>
        <w:t>Clustering is optional, but a simple country-level feature matrix would materially improve analysis depth once forecasting is complete.</w:t>
      </w:r>
    </w:p>
    <w:p>
      <w:r>
        <w:br w:type="page"/>
      </w:r>
    </w:p>
    <w:p>
      <w:pPr>
        <w:pStyle w:val="Heading1"/>
      </w:pPr>
      <w:r>
        <w:t>6. Key architectural decisions and trade-offs</w:t>
      </w:r>
    </w:p>
    <w:p>
      <w:pPr>
        <w:pStyle w:val="Heading2"/>
      </w:pPr>
      <w:r>
        <w:t>Snowflake for analytical truth</w:t>
      </w:r>
    </w:p>
    <w:p>
      <w:pPr>
        <w:keepLines/>
      </w:pPr>
      <w:r>
        <w:rPr>
          <w:rFonts w:ascii="Calibri" w:hAnsi="Calibri"/>
          <w:b/>
          <w:color w:val="1F4D78"/>
        </w:rPr>
        <w:t xml:space="preserve">Why. </w:t>
      </w:r>
      <w:r>
        <w:t>Marketplace sharing and SQL analytics minimize ingestion duplication and keep transformations close to scalable compute.</w:t>
      </w:r>
    </w:p>
    <w:p>
      <w:pPr>
        <w:keepLines/>
      </w:pPr>
      <w:r>
        <w:rPr>
          <w:rFonts w:ascii="Calibri" w:hAnsi="Calibri"/>
          <w:b/>
          <w:color w:val="7F6000"/>
        </w:rPr>
        <w:t xml:space="preserve">Trade-off. </w:t>
      </w:r>
      <w:r>
        <w:t>View-based marts recompute on demand; cost is controlled through caching and a small precomputed latest snapshot.</w:t>
      </w:r>
    </w:p>
    <w:p>
      <w:pPr>
        <w:pStyle w:val="Heading2"/>
      </w:pPr>
      <w:r>
        <w:t>MongoDB for annotations</w:t>
      </w:r>
    </w:p>
    <w:p>
      <w:pPr>
        <w:keepLines/>
      </w:pPr>
      <w:r>
        <w:rPr>
          <w:rFonts w:ascii="Calibri" w:hAnsi="Calibri"/>
          <w:b/>
          <w:color w:val="1F4D78"/>
        </w:rPr>
        <w:t xml:space="preserve">Why. </w:t>
      </w:r>
      <w:r>
        <w:t>User comments evolve independently of the analytical schema and fit a document model.</w:t>
      </w:r>
    </w:p>
    <w:p>
      <w:pPr>
        <w:keepLines/>
      </w:pPr>
      <w:r>
        <w:rPr>
          <w:rFonts w:ascii="Calibri" w:hAnsi="Calibri"/>
          <w:b/>
          <w:color w:val="7F6000"/>
        </w:rPr>
        <w:t xml:space="preserve">Trade-off. </w:t>
      </w:r>
      <w:r>
        <w:t>Cross-store consistency is application-managed; there is no transaction spanning Snowflake validation and MongoDB insert.</w:t>
      </w:r>
    </w:p>
    <w:p>
      <w:pPr>
        <w:pStyle w:val="Heading2"/>
      </w:pPr>
      <w:r>
        <w:t>Redis as a budget gate</w:t>
      </w:r>
    </w:p>
    <w:p>
      <w:pPr>
        <w:keepLines/>
      </w:pPr>
      <w:r>
        <w:rPr>
          <w:rFonts w:ascii="Calibri" w:hAnsi="Calibri"/>
          <w:b/>
          <w:color w:val="1F4D78"/>
        </w:rPr>
        <w:t xml:space="preserve">Why. </w:t>
      </w:r>
      <w:r>
        <w:t>Failing closed prevents an unavailable cache from turning every request into a paid Snowflake query.</w:t>
      </w:r>
    </w:p>
    <w:p>
      <w:pPr>
        <w:keepLines/>
      </w:pPr>
      <w:r>
        <w:rPr>
          <w:rFonts w:ascii="Calibri" w:hAnsi="Calibri"/>
          <w:b/>
          <w:color w:val="7F6000"/>
        </w:rPr>
        <w:t xml:space="preserve">Trade-off. </w:t>
      </w:r>
      <w:r>
        <w:t>Analytical availability now depends on Redis; this is deliberate cost protection rather than graceful degradation.</w:t>
      </w:r>
    </w:p>
    <w:p>
      <w:pPr>
        <w:pStyle w:val="Heading2"/>
      </w:pPr>
      <w:r>
        <w:t>One Snowflake statement per public repository method</w:t>
      </w:r>
    </w:p>
    <w:p>
      <w:pPr>
        <w:keepLines/>
      </w:pPr>
      <w:r>
        <w:rPr>
          <w:rFonts w:ascii="Calibri" w:hAnsi="Calibri"/>
          <w:b/>
          <w:color w:val="1F4D78"/>
        </w:rPr>
        <w:t xml:space="preserve">Why. </w:t>
      </w:r>
      <w:r>
        <w:t>Bounded calls simplify credit attribution, test query counts, and avoid chatty dashboards.</w:t>
      </w:r>
    </w:p>
    <w:p>
      <w:pPr>
        <w:keepLines/>
      </w:pPr>
      <w:r>
        <w:rPr>
          <w:rFonts w:ascii="Calibri" w:hAnsi="Calibri"/>
          <w:b/>
          <w:color w:val="7F6000"/>
        </w:rPr>
        <w:t xml:space="preserve">Trade-off. </w:t>
      </w:r>
      <w:r>
        <w:t>A new Snowflake connection is opened for each computation, which increases authentication and network overhead on misses.</w:t>
      </w:r>
    </w:p>
    <w:p>
      <w:pPr>
        <w:pStyle w:val="Heading2"/>
      </w:pPr>
      <w:r>
        <w:t>Transient latest-country snapshot</w:t>
      </w:r>
    </w:p>
    <w:p>
      <w:pPr>
        <w:keepLines/>
      </w:pPr>
      <w:r>
        <w:rPr>
          <w:rFonts w:ascii="Calibri" w:hAnsi="Calibri"/>
          <w:b/>
          <w:color w:val="1F4D78"/>
        </w:rPr>
        <w:t xml:space="preserve">Why. </w:t>
      </w:r>
      <w:r>
        <w:t>A 214-row table makes overview and identity resolution cheap and predictable.</w:t>
      </w:r>
    </w:p>
    <w:p>
      <w:pPr>
        <w:keepLines/>
      </w:pPr>
      <w:r>
        <w:rPr>
          <w:rFonts w:ascii="Calibri" w:hAnsi="Calibri"/>
          <w:b/>
          <w:color w:val="7F6000"/>
        </w:rPr>
        <w:t xml:space="preserve">Trade-off. </w:t>
      </w:r>
      <w:r>
        <w:t>Refresh is manual; stale upstream records remain visible and the table can lag without an orchestration signal.</w:t>
      </w:r>
    </w:p>
    <w:p>
      <w:pPr>
        <w:pStyle w:val="Heading2"/>
      </w:pPr>
      <w:r>
        <w:t>Preserve source corrections</w:t>
      </w:r>
    </w:p>
    <w:p>
      <w:pPr>
        <w:keepLines/>
      </w:pPr>
      <w:r>
        <w:rPr>
          <w:rFonts w:ascii="Calibri" w:hAnsi="Calibri"/>
          <w:b/>
          <w:color w:val="1F4D78"/>
        </w:rPr>
        <w:t xml:space="preserve">Why. </w:t>
      </w:r>
      <w:r>
        <w:t>Negative daily values are legitimate reporting corrections; retaining them prevents silently rewriting history.</w:t>
      </w:r>
    </w:p>
    <w:p>
      <w:pPr>
        <w:keepLines/>
      </w:pPr>
      <w:r>
        <w:rPr>
          <w:rFonts w:ascii="Calibri" w:hAnsi="Calibri"/>
          <w:b/>
          <w:color w:val="7F6000"/>
        </w:rPr>
        <w:t xml:space="preserve">Trade-off. </w:t>
      </w:r>
      <w:r>
        <w:t>Cumulative curves can decrease and pattern detection can be sensitive to revisions, so charts and report text need caveats.</w:t>
      </w:r>
    </w:p>
    <w:p>
      <w:pPr>
        <w:pStyle w:val="Heading2"/>
      </w:pPr>
      <w:r>
        <w:t>Development-first Compose stack</w:t>
      </w:r>
    </w:p>
    <w:p>
      <w:pPr>
        <w:keepLines/>
      </w:pPr>
      <w:r>
        <w:rPr>
          <w:rFonts w:ascii="Calibri" w:hAnsi="Calibri"/>
          <w:b/>
          <w:color w:val="1F4D78"/>
        </w:rPr>
        <w:t xml:space="preserve">Why. </w:t>
      </w:r>
      <w:r>
        <w:t>Bind mounts and Uvicorn reload shorten the feedback loop and make supervisor setup approachable.</w:t>
      </w:r>
    </w:p>
    <w:p>
      <w:pPr>
        <w:keepLines/>
      </w:pPr>
      <w:r>
        <w:rPr>
          <w:rFonts w:ascii="Calibri" w:hAnsi="Calibri"/>
          <w:b/>
          <w:color w:val="7F6000"/>
        </w:rPr>
        <w:t xml:space="preserve">Trade-off. </w:t>
      </w:r>
      <w:r>
        <w:t>It is not a hardened production deployment: no reverse proxy, TLS, secret manager, replicas, or production Compose override.</w:t>
      </w:r>
    </w:p>
    <w:p>
      <w:pPr>
        <w:pStyle w:val="Heading1"/>
      </w:pPr>
      <w:r>
        <w:t>7. Performance and optimization assessment</w:t>
      </w:r>
    </w:p>
    <w:p>
      <w:pPr>
        <w:pStyle w:val="CalloutSuccess"/>
        <w:shd w:fill="E2F0D9"/>
        <w:pBdr>
          <w:left w:val="single" w:sz="18" w:space="6" w:color="70AD47"/>
        </w:pBdr>
      </w:pPr>
      <w:r>
        <w:rPr>
          <w:b/>
        </w:rPr>
        <w:t xml:space="preserve">Live Snowflake state: </w:t>
      </w:r>
      <w:r>
        <w:t>AWS_EU_NORTH_1; COVID_WH is X-Small, auto-suspends after 60 seconds, and was suspended after verification. COVID_PROJECT_MONITOR has a 5-credit monthly quota with 1.13 credits used and 3.87 remaining at review time.</w:t>
      </w:r>
    </w:p>
    <w:p>
      <w:pPr>
        <w:numPr>
          <w:ilvl w:val="0"/>
          <w:numId w:val="10"/>
        </w:numPr>
        <w:spacing w:after="160" w:line="280" w:lineRule="auto"/>
      </w:pPr>
      <w:r>
        <w:t>The 214-row transient latest snapshot is the most concrete warehouse-side optimization.</w:t>
      </w:r>
    </w:p>
    <w:p>
      <w:pPr>
        <w:numPr>
          <w:ilvl w:val="0"/>
          <w:numId w:val="10"/>
        </w:numPr>
        <w:spacing w:after="160" w:line="280" w:lineRule="auto"/>
      </w:pPr>
      <w:r>
        <w:t>API page aggregation and 24-hour Redis TTLs reduce repeated scans and dashboard fan-out.</w:t>
      </w:r>
    </w:p>
    <w:p>
      <w:pPr>
        <w:numPr>
          <w:ilvl w:val="0"/>
          <w:numId w:val="10"/>
        </w:numPr>
        <w:spacing w:after="160" w:line="280" w:lineRule="auto"/>
      </w:pPr>
      <w:r>
        <w:t>Bind parameters and a metric allowlist preserve plan stability and prevent user-controlled SQL structure.</w:t>
      </w:r>
    </w:p>
    <w:p>
      <w:pPr>
        <w:numPr>
          <w:ilvl w:val="0"/>
          <w:numId w:val="10"/>
        </w:numPr>
        <w:spacing w:after="160" w:line="280" w:lineRule="auto"/>
      </w:pPr>
      <w:r>
        <w:t>No clustering key or search optimization is configured. At only 61,900 mart rows, avoiding those features is reasonable because their maintenance cost would likely exceed the scan benefit.</w:t>
      </w:r>
    </w:p>
    <w:p>
      <w:pPr>
        <w:numPr>
          <w:ilvl w:val="0"/>
          <w:numId w:val="10"/>
        </w:numPr>
        <w:spacing w:after="160" w:line="280" w:lineRule="auto"/>
      </w:pPr>
      <w:r>
        <w:t>The live warehouse has query acceleration enabled with scale factor 2, but sql/00_project_setup.sql does not declare it. This is configuration drift and weakens reproducibility.</w:t>
      </w:r>
    </w:p>
    <w:p>
      <w:pPr>
        <w:numPr>
          <w:ilvl w:val="0"/>
          <w:numId w:val="10"/>
        </w:numPr>
        <w:spacing w:after="160" w:line="280" w:lineRule="auto"/>
      </w:pPr>
      <w:r>
        <w:t>No query history, query profile, bytes-scanned baseline, p50/p95 latency, or before/after benchmark is included; therefore Task 7 is only partially evidenced.</w:t>
      </w:r>
    </w:p>
    <w:p>
      <w:pPr>
        <w:keepLines/>
      </w:pPr>
      <w:r>
        <w:rPr>
          <w:rFonts w:ascii="Calibri" w:hAnsi="Calibri"/>
          <w:b/>
          <w:color w:val="1F4D78"/>
        </w:rPr>
        <w:t xml:space="preserve">Recommended Snowflake hardening. </w:t>
      </w:r>
      <w:r>
        <w:t>Add QUERY_TAG and STATEMENT_TIMEOUT_IN_SECONDS at connection/session level; automate snapshot refresh; capture representative query profiles; document why clustering/search optimization remain disabled; and stage population refreshes before an atomic swap.</w:t>
      </w:r>
    </w:p>
    <w:p>
      <w:pPr>
        <w:pStyle w:val="Heading1"/>
      </w:pPr>
      <w:r>
        <w:t>8. Spark optimization status</w:t>
      </w:r>
    </w:p>
    <w:p>
      <w:pPr>
        <w:pStyle w:val="CalloutRisk"/>
        <w:shd w:fill="FCE4D6"/>
        <w:pBdr>
          <w:left w:val="single" w:sz="18" w:space="6" w:color="C00000"/>
        </w:pBdr>
      </w:pPr>
      <w:r>
        <w:rPr>
          <w:b/>
        </w:rPr>
        <w:t xml:space="preserve">Mandatory gap: </w:t>
      </w:r>
      <w:r>
        <w:t>The repository's engineering brief requires a PySpark Bronze layer, automated profiling in the PySpark entry point, a Spark container/runtime, and documented Spark optimizations. None is present in pyproject.toml, compose.yaml, scripts, or tests.</w:t>
      </w:r>
    </w:p>
    <w:p>
      <w:r>
        <w:t>No Spark optimization should be claimed in the final submission until it is implemented and measured. A minimal compliant path would be:</w:t>
      </w:r>
    </w:p>
    <w:p>
      <w:pPr>
        <w:numPr>
          <w:ilvl w:val="0"/>
          <w:numId w:val="11"/>
        </w:numPr>
        <w:spacing w:after="160" w:line="280" w:lineRule="auto"/>
      </w:pPr>
      <w:r>
        <w:t>Add a Spark service or reproducible local Spark runtime and pin a Java-compatible PySpark version through uv and Docker.</w:t>
      </w:r>
    </w:p>
    <w:p>
      <w:pPr>
        <w:numPr>
          <w:ilvl w:val="0"/>
          <w:numId w:val="11"/>
        </w:numPr>
        <w:spacing w:after="160" w:line="280" w:lineRule="auto"/>
      </w:pPr>
      <w:r>
        <w:t>Land source extracts into an immutable Bronze dataset with explicit schema, provenance columns, ingestion timestamp, and corrupt-record handling.</w:t>
      </w:r>
    </w:p>
    <w:p>
      <w:pPr>
        <w:numPr>
          <w:ilvl w:val="0"/>
          <w:numId w:val="11"/>
        </w:numPr>
        <w:spacing w:after="160" w:line="280" w:lineRule="auto"/>
      </w:pPr>
      <w:r>
        <w:t>Profile row counts, nulls, distinct counts, quantiles, bounds, and schema drift in the same entry point; persist machine-readable quality results.</w:t>
      </w:r>
    </w:p>
    <w:p>
      <w:pPr>
        <w:numPr>
          <w:ilvl w:val="0"/>
          <w:numId w:val="11"/>
        </w:numPr>
        <w:spacing w:after="160" w:line="280" w:lineRule="auto"/>
      </w:pPr>
      <w:r>
        <w:t>Partition only persisted data that is large enough to benefit, preferably by year/month rather than high-cardinality country-date. At the current 61.9k-row scale, coalesce to a small file count instead of creating many tiny partitions.</w:t>
      </w:r>
    </w:p>
    <w:p>
      <w:pPr>
        <w:numPr>
          <w:ilvl w:val="0"/>
          <w:numId w:val="11"/>
        </w:numPr>
        <w:spacing w:after="160" w:line="280" w:lineRule="auto"/>
      </w:pPr>
      <w:r>
        <w:t>Broadcast the 217-row population dimension and the 14-row country mapping to avoid shuffle joins; verify the physical plan rather than relying on hints alone.</w:t>
      </w:r>
    </w:p>
    <w:p>
      <w:pPr>
        <w:numPr>
          <w:ilvl w:val="0"/>
          <w:numId w:val="11"/>
        </w:numPr>
        <w:spacing w:after="160" w:line="280" w:lineRule="auto"/>
      </w:pPr>
      <w:r>
        <w:t>Select only required columns, filter early, avoid Python UDFs, enable adaptive query execution, and cache only reused intermediate frames.</w:t>
      </w:r>
    </w:p>
    <w:p>
      <w:pPr>
        <w:numPr>
          <w:ilvl w:val="0"/>
          <w:numId w:val="11"/>
        </w:numPr>
        <w:spacing w:after="160" w:line="280" w:lineRule="auto"/>
      </w:pPr>
      <w:r>
        <w:t>Record input size, partitions, shuffle bytes, runtime, and output file count before and after each optimization. Without these measurements, optimization claims are not defensible.</w:t>
      </w:r>
    </w:p>
    <w:p>
      <w:pPr>
        <w:keepLines/>
      </w:pPr>
      <w:r>
        <w:rPr>
          <w:rFonts w:ascii="Calibri" w:hAnsi="Calibri"/>
          <w:b/>
          <w:color w:val="7F6000"/>
        </w:rPr>
        <w:t xml:space="preserve">Scale trade-off. </w:t>
      </w:r>
      <w:r>
        <w:t>Spark is technically unnecessary for the current 61,900-row mart, where pandas/Snowflake SQL are simpler and cheaper. It is nevertheless required by the local brief, so the project should implement a small, honest Spark path and explain that its purpose is architectural demonstration rather than present-day throughput.</w:t>
      </w:r>
    </w:p>
    <w:p>
      <w:r>
        <w:br w:type="page"/>
      </w:r>
    </w:p>
    <w:p>
      <w:pPr>
        <w:pStyle w:val="Heading1"/>
      </w:pPr>
      <w:r>
        <w:t>9. MongoDB annotation schema</w:t>
      </w:r>
    </w:p>
    <w:p>
      <w:r>
        <w:t>Collection: covid_app.annotations. The API stores canonical identity fields so reads do not depend on users repeatedly entering equivalent country names or codes.</w:t>
      </w:r>
    </w:p>
    <w:p>
      <w:pPr>
        <w:pStyle w:val="CodeBlock"/>
        <w:shd w:fill="F2F4F7"/>
      </w:pPr>
      <w:r>
        <w:t>{</w:t>
        <w:br/>
        <w:t xml:space="preserve">  "_id": ObjectId,</w:t>
        <w:br/>
        <w:t xml:space="preserve">  "country": string,              // canonical display name</w:t>
        <w:br/>
        <w:t xml:space="preserve">  "iso2": string | null,</w:t>
        <w:br/>
        <w:t xml:space="preserve">  "iso3": string | null,</w:t>
        <w:br/>
        <w:t xml:space="preserve">  "location_key": string,         // stable analytical join identity</w:t>
        <w:br/>
        <w:t xml:space="preserve">  "report_date": UTC datetime,    // normalized to midnight</w:t>
        <w:br/>
        <w:t xml:space="preserve">  "metric": enum&lt;string&gt;,         // one of nine API metrics</w:t>
        <w:br/>
        <w:t xml:space="preserve">  "comment": string,              // 1..1000 trimmed characters</w:t>
        <w:br/>
        <w:t xml:space="preserve">  "created_by": string,           // 1..80 trimmed characters</w:t>
        <w:br/>
        <w:t xml:space="preserve">  "created_at": UTC datetime</w:t>
        <w:br/>
        <w:t>}</w:t>
      </w:r>
    </w:p>
    <w:p>
      <w:pPr>
        <w:keepLines/>
      </w:pPr>
      <w:r>
        <w:rPr>
          <w:rFonts w:ascii="Calibri" w:hAnsi="Calibri"/>
          <w:b/>
          <w:color w:val="1F4D78"/>
        </w:rPr>
        <w:t xml:space="preserve">Index 1. </w:t>
      </w:r>
      <w:r>
        <w:t>(country ASC, report_date ASC, created_at ASC) supports chronological country/date listing.</w:t>
      </w:r>
    </w:p>
    <w:p>
      <w:pPr>
        <w:keepLines/>
      </w:pPr>
      <w:r>
        <w:rPr>
          <w:rFonts w:ascii="Calibri" w:hAnsi="Calibri"/>
          <w:b/>
          <w:color w:val="1F4D78"/>
        </w:rPr>
        <w:t xml:space="preserve">Index 2. </w:t>
      </w:r>
      <w:r>
        <w:t>(country ASC, metric ASC, report_date ASC) supports metric-filtered date ranges.</w:t>
      </w:r>
    </w:p>
    <w:p>
      <w:pPr>
        <w:keepLines/>
      </w:pPr>
      <w:r>
        <w:rPr>
          <w:rFonts w:ascii="Calibri" w:hAnsi="Calibri"/>
          <w:b/>
          <w:color w:val="1F4D78"/>
        </w:rPr>
        <w:t xml:space="preserve">Duplicate policy. </w:t>
      </w:r>
      <w:r>
        <w:t>Indexes are intentionally non-unique so multiple users can annotate the same country, date, and metric. This enables discussion but requires moderation or identity controls in a public deployment.</w:t>
      </w:r>
    </w:p>
    <w:p>
      <w:pPr>
        <w:keepLines/>
      </w:pPr>
      <w:r>
        <w:rPr>
          <w:rFonts w:ascii="Calibri" w:hAnsi="Calibri"/>
          <w:b/>
          <w:color w:val="1F4D78"/>
        </w:rPr>
        <w:t xml:space="preserve">Recommended constraint. </w:t>
      </w:r>
      <w:r>
        <w:t>Add a MongoDB JSON Schema validator mirroring the Pydantic limits so writes outside FastAPI cannot create malformed documents.</w:t>
      </w:r>
    </w:p>
    <w:p>
      <w:pPr>
        <w:pStyle w:val="Heading1"/>
      </w:pPr>
      <w:r>
        <w:t>10. Code quality, testing, and deployability</w:t>
      </w:r>
    </w:p>
    <w:tbl>
      <w:tblPr>
        <w:tblStyle w:val="TableGrid"/>
        <w:tblW w:type="dxa" w:w="9360"/>
        <w:jc w:val="left"/>
        <w:tblLayout w:type="fixed"/>
        <w:tblLook w:firstColumn="1" w:firstRow="1" w:lastColumn="0" w:lastRow="0" w:noHBand="0" w:noVBand="1" w:val="04A0"/>
        <w:tblInd w:type="dxa" w:w="120"/>
      </w:tblPr>
      <w:tblGrid>
        <w:gridCol w:w="1700"/>
        <w:gridCol w:w="1300"/>
        <w:gridCol w:w="6360"/>
      </w:tblGrid>
      <w:tr>
        <w:trPr>
          <w:tblHeader w:val="true"/>
        </w:trPr>
        <w:tc>
          <w:tcPr>
            <w:tcW w:type="dxa" w:w="170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Area</w:t>
            </w:r>
          </w:p>
        </w:tc>
        <w:tc>
          <w:tcPr>
            <w:tcW w:type="dxa" w:w="130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Assessment</w:t>
            </w:r>
          </w:p>
        </w:tc>
        <w:tc>
          <w:tcPr>
            <w:tcW w:type="dxa" w:w="636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Evidence / risk</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Organization</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Strong</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Routes, models, services, repositories, dashboard, SQL, scripts, and tests are separated</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Correctness</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Strong</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Enums, Pydantic models, domain errors, bind parameters, and canonical identifiers</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Observability</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Strong</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Structured JSON logs, request IDs, sanitized external exceptions, health endpoints</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Unit tests</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Strong</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21 tests pass; query-count, cache-failure, API-contract, dashboard, and annotation cases</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Integration tests</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Weak</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No live Mongo/Redis/Snowflake/Compose end-to-end test or clean-VM acceptance script</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CI</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Strong</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GitHub Actions runs uv lock, sync, isort, Black, Ruff, and unit tests on push/PR</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Dependency reproducibility</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Strong</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Python 3.12 range, exact local/container pin, uv.lock, locked Docker sync</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Production readiness</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Limited</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Development bind mount/reload, no TLS/reverse proxy/secrets manager/authentication</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Comment quality</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Partial</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Some comments explain cost/idempotency/correction rationale; many docstrings describe what rather than why</w:t>
            </w:r>
          </w:p>
        </w:tc>
      </w:tr>
      <w:tr>
        <w:trPr/>
        <w:tc>
          <w:tcPr>
            <w:tcW w:type="dxa" w:w="1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Repository state</w:t>
            </w:r>
          </w:p>
        </w:tc>
        <w:tc>
          <w:tcPr>
            <w:tcW w:type="dxa" w:w="13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Risk</w:t>
            </w:r>
          </w:p>
        </w:tc>
        <w:tc>
          <w:tcPr>
            <w:tcW w:type="dxa" w:w="63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Ten modified Python files and an untracked instruction directory are not committed</w:t>
            </w:r>
          </w:p>
        </w:tc>
      </w:tr>
    </w:tbl>
    <w:p>
      <w:pPr>
        <w:spacing w:after="20"/>
      </w:pPr>
    </w:p>
    <w:p>
      <w:pPr>
        <w:pStyle w:val="Callout"/>
        <w:shd w:fill="F4F6F9"/>
        <w:pBdr>
          <w:left w:val="single" w:sz="18" w:space="6" w:color="2E74B5"/>
        </w:pBdr>
      </w:pPr>
      <w:r>
        <w:rPr>
          <w:b/>
        </w:rPr>
        <w:t xml:space="preserve">Commenting standard: </w:t>
      </w:r>
      <w:r>
        <w:t>Keep code self-explanatory and add comments only where the decision is non-obvious: fail-closed cache behavior, the one-statement budget, negative corrections, snapshot refresh semantics, atomic load strategy, and Spark partition/broadcast choices. Those comments should explain why the trade-off exists, not narrate syntax.</w:t>
      </w:r>
    </w:p>
    <w:p>
      <w:pPr>
        <w:numPr>
          <w:ilvl w:val="0"/>
          <w:numId w:val="10"/>
        </w:numPr>
        <w:spacing w:after="160" w:line="280" w:lineRule="auto"/>
      </w:pPr>
      <w:r>
        <w:t>Add a smoke-test script that starts Compose, waits for health, creates indexes, exercises API routes, and captures clean shutdown.</w:t>
      </w:r>
    </w:p>
    <w:p>
      <w:pPr>
        <w:numPr>
          <w:ilvl w:val="0"/>
          <w:numId w:val="10"/>
        </w:numPr>
        <w:spacing w:after="160" w:line="280" w:lineRule="auto"/>
      </w:pPr>
      <w:r>
        <w:t>Add integration tests with disposable MongoDB and Redis plus a Snowflake test profile or recorded contract boundary.</w:t>
      </w:r>
    </w:p>
    <w:p>
      <w:pPr>
        <w:numPr>
          <w:ilvl w:val="0"/>
          <w:numId w:val="10"/>
        </w:numPr>
        <w:spacing w:after="160" w:line="280" w:lineRule="auto"/>
      </w:pPr>
      <w:r>
        <w:t>Commit and push the reviewed working tree before using the repository link in the final submission.</w:t>
      </w:r>
    </w:p>
    <w:p>
      <w:r>
        <w:br w:type="page"/>
      </w:r>
    </w:p>
    <w:p>
      <w:pPr>
        <w:pStyle w:val="Heading1"/>
      </w:pPr>
      <w:r>
        <w:t>11. Verified data quality and COVID-19 insights</w:t>
      </w:r>
    </w:p>
    <w:p>
      <w:pPr>
        <w:pStyle w:val="Callout"/>
        <w:shd w:fill="F4F6F9"/>
        <w:pBdr>
          <w:left w:val="single" w:sz="18" w:space="6" w:color="2E74B5"/>
        </w:pBdr>
      </w:pPr>
      <w:r>
        <w:rPr>
          <w:b/>
        </w:rPr>
        <w:t xml:space="preserve">Dataset scope: </w:t>
      </w:r>
      <w:r>
        <w:t>Live Snowflake checks on 26 July 2026 found 61,900 daily rows for 214 locations from 31 December 2019 through 14 December 2020. Population joins cover 203 locations and 59,336 rows; 11 source-unavailable locations account for 2,564 rows.</w:t>
      </w:r>
    </w:p>
    <w:tbl>
      <w:tblPr>
        <w:tblStyle w:val="TableGrid"/>
        <w:tblW w:type="dxa" w:w="9360"/>
        <w:jc w:val="left"/>
        <w:tblLayout w:type="fixed"/>
        <w:tblLook w:firstColumn="1" w:firstRow="1" w:lastColumn="0" w:lastRow="0" w:noHBand="0" w:noVBand="1" w:val="04A0"/>
        <w:tblInd w:type="dxa" w:w="120"/>
      </w:tblPr>
      <w:tblGrid>
        <w:gridCol w:w="2100"/>
        <w:gridCol w:w="2850"/>
        <w:gridCol w:w="4410"/>
      </w:tblGrid>
      <w:tr>
        <w:trPr>
          <w:tblHeader w:val="true"/>
        </w:trPr>
        <w:tc>
          <w:tcPr>
            <w:tcW w:type="dxa" w:w="210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Finding</w:t>
            </w:r>
          </w:p>
        </w:tc>
        <w:tc>
          <w:tcPr>
            <w:tcW w:type="dxa" w:w="285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Verified value</w:t>
            </w:r>
          </w:p>
        </w:tc>
        <w:tc>
          <w:tcPr>
            <w:tcW w:type="dxa" w:w="441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Interpretation</w:t>
            </w:r>
          </w:p>
        </w:tc>
      </w:tr>
      <w:tr>
        <w:trPr/>
        <w:tc>
          <w:tcPr>
            <w:tcW w:type="dxa" w:w="21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Latest-location totals</w:t>
            </w:r>
          </w:p>
        </w:tc>
        <w:tc>
          <w:tcPr>
            <w:tcW w:type="dxa" w:w="28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71,503,614 cases; 1,612,833 deaths; 2.2556% reported case-fatality ratio</w:t>
            </w:r>
          </w:p>
        </w:tc>
        <w:tc>
          <w:tcPr>
            <w:tcW w:type="dxa" w:w="44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Snapshot sums each location's latest available observation</w:t>
            </w:r>
          </w:p>
        </w:tc>
      </w:tr>
      <w:tr>
        <w:trPr/>
        <w:tc>
          <w:tcPr>
            <w:tcW w:type="dxa" w:w="21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Highest cases / 100k</w:t>
            </w:r>
          </w:p>
        </w:tc>
        <w:tc>
          <w:tcPr>
            <w:tcW w:type="dxa" w:w="28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Andorra 9,483.1; Montenegro 6,611.3; Luxembourg 6,546.8</w:t>
            </w:r>
          </w:p>
        </w:tc>
        <w:tc>
          <w:tcPr>
            <w:tcW w:type="dxa" w:w="44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Small populations amplify normalized rates; ranking is not absolute burden</w:t>
            </w:r>
          </w:p>
        </w:tc>
      </w:tr>
      <w:tr>
        <w:trPr/>
        <w:tc>
          <w:tcPr>
            <w:tcW w:type="dxa" w:w="21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Highest deaths / 100k</w:t>
            </w:r>
          </w:p>
        </w:tc>
        <w:tc>
          <w:tcPr>
            <w:tcW w:type="dxa" w:w="28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Belgium 155.6; San Marino 146.7; North Macedonia 114.3</w:t>
            </w:r>
          </w:p>
        </w:tc>
        <w:tc>
          <w:tcPr>
            <w:tcW w:type="dxa" w:w="44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Per-capita mortality reveals burden hidden by raw totals</w:t>
            </w:r>
          </w:p>
        </w:tc>
      </w:tr>
      <w:tr>
        <w:trPr/>
        <w:tc>
          <w:tcPr>
            <w:tcW w:type="dxa" w:w="21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Mortality ratio, &gt;=10k cases</w:t>
            </w:r>
          </w:p>
        </w:tc>
        <w:tc>
          <w:tcPr>
            <w:tcW w:type="dxa" w:w="28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Mexico 9.1159%; Ecuador 6.8651%; Sudan 6.2985%</w:t>
            </w:r>
          </w:p>
        </w:tc>
        <w:tc>
          <w:tcPr>
            <w:tcW w:type="dxa" w:w="44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Reported CFR is affected by testing, lags, and death attribution</w:t>
            </w:r>
          </w:p>
        </w:tc>
      </w:tr>
      <w:tr>
        <w:trPr/>
        <w:tc>
          <w:tcPr>
            <w:tcW w:type="dxa" w:w="21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Baltic comparison</w:t>
            </w:r>
          </w:p>
        </w:tc>
        <w:tc>
          <w:tcPr>
            <w:tcW w:type="dxa" w:w="28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Lithuania 3,381.1 cases/100k vs Estonia 1,358.0 and Latvia 1,351.0</w:t>
            </w:r>
          </w:p>
        </w:tc>
        <w:tc>
          <w:tcPr>
            <w:tcW w:type="dxa" w:w="44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Lithuania's recorded incidence was about 2.5x the other two by the snapshot</w:t>
            </w:r>
          </w:p>
        </w:tc>
      </w:tr>
      <w:tr>
        <w:trPr/>
        <w:tc>
          <w:tcPr>
            <w:tcW w:type="dxa" w:w="21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Baltic severity</w:t>
            </w:r>
          </w:p>
        </w:tc>
        <w:tc>
          <w:tcPr>
            <w:tcW w:type="dxa" w:w="28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Deaths/100k: LT 29.4, LV 18.4, EE 11.2; CFR: LV 1.3593%, LT 0.8682%, EE 0.8253%</w:t>
            </w:r>
          </w:p>
        </w:tc>
        <w:tc>
          <w:tcPr>
            <w:tcW w:type="dxa" w:w="44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Incidence and reported fatality rank differently across the three countries</w:t>
            </w:r>
          </w:p>
        </w:tc>
      </w:tr>
      <w:tr>
        <w:trPr/>
        <w:tc>
          <w:tcPr>
            <w:tcW w:type="dxa" w:w="21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Reporting corrections</w:t>
            </w:r>
          </w:p>
        </w:tc>
        <w:tc>
          <w:tcPr>
            <w:tcW w:type="dxa" w:w="28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18 negative-case rows and 8 negative-death rows across 17 locations</w:t>
            </w:r>
          </w:p>
        </w:tc>
        <w:tc>
          <w:tcPr>
            <w:tcW w:type="dxa" w:w="44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Revision flags are analytically material and should be shown in caveats</w:t>
            </w:r>
          </w:p>
        </w:tc>
      </w:tr>
      <w:tr>
        <w:trPr/>
        <w:tc>
          <w:tcPr>
            <w:tcW w:type="dxa" w:w="21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Growth patterns</w:t>
            </w:r>
          </w:p>
        </w:tc>
        <w:tc>
          <w:tcPr>
            <w:tcW w:type="dxa" w:w="28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1,769 patterns across 170 locations</w:t>
            </w:r>
          </w:p>
        </w:tc>
        <w:tc>
          <w:tcPr>
            <w:tcW w:type="dxa" w:w="44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MATCH_RECOGNIZE finds sustained monotonic daily increases, not epidemiological transmission regimes</w:t>
            </w:r>
          </w:p>
        </w:tc>
      </w:tr>
    </w:tbl>
    <w:p>
      <w:pPr>
        <w:spacing w:after="20"/>
      </w:pPr>
    </w:p>
    <w:p>
      <w:pPr>
        <w:pStyle w:val="Heading2"/>
      </w:pPr>
      <w:r>
        <w:t>11.1 Pattern examples</w:t>
      </w:r>
    </w:p>
    <w:p>
      <w:pPr>
        <w:numPr>
          <w:ilvl w:val="0"/>
          <w:numId w:val="10"/>
        </w:numPr>
        <w:spacing w:after="160" w:line="280" w:lineRule="auto"/>
      </w:pPr>
      <w:r>
        <w:t>Russian Federation: 23 consecutive increases across a 24-day match, 14 September to 7 October 2020; daily cases rose from 5,449 to 11,615.</w:t>
      </w:r>
    </w:p>
    <w:p>
      <w:pPr>
        <w:numPr>
          <w:ilvl w:val="0"/>
          <w:numId w:val="10"/>
        </w:numPr>
        <w:spacing w:after="160" w:line="280" w:lineRule="auto"/>
      </w:pPr>
      <w:r>
        <w:t>Spain: 20 consecutive increases across 21 days, 24 February to 15 March 2020; daily cases rose from 0 to 2,144.</w:t>
      </w:r>
    </w:p>
    <w:p>
      <w:pPr>
        <w:numPr>
          <w:ilvl w:val="0"/>
          <w:numId w:val="10"/>
        </w:numPr>
        <w:spacing w:after="160" w:line="280" w:lineRule="auto"/>
      </w:pPr>
      <w:r>
        <w:t>United States: 16 consecutive increases across 17 days, 8 to 24 March 2020; daily cases rose from 95 to 11,236.</w:t>
      </w:r>
    </w:p>
    <w:p>
      <w:pPr>
        <w:pStyle w:val="Heading2"/>
      </w:pPr>
      <w:r>
        <w:t>11.2 Data interpretation cautions</w:t>
      </w:r>
    </w:p>
    <w:p>
      <w:pPr>
        <w:numPr>
          <w:ilvl w:val="0"/>
          <w:numId w:val="10"/>
        </w:numPr>
        <w:spacing w:after="160" w:line="280" w:lineRule="auto"/>
      </w:pPr>
      <w:r>
        <w:t>The source ends in December 2020; it is historical and unsuitable for current public-health decisions.</w:t>
      </w:r>
    </w:p>
    <w:p>
      <w:pPr>
        <w:numPr>
          <w:ilvl w:val="0"/>
          <w:numId w:val="10"/>
        </w:numPr>
        <w:spacing w:after="160" w:line="280" w:lineRule="auto"/>
      </w:pPr>
      <w:r>
        <w:t>Confirmed cases are not infections. Testing availability, reporting definitions, and correction practices vary across locations.</w:t>
      </w:r>
    </w:p>
    <w:p>
      <w:pPr>
        <w:numPr>
          <w:ilvl w:val="0"/>
          <w:numId w:val="10"/>
        </w:numPr>
        <w:spacing w:after="160" w:line="280" w:lineRule="auto"/>
      </w:pPr>
      <w:r>
        <w:t>The latest snapshot is not perfectly synchronized: Spain ends on 13 December 2020 and the international conveyance record on 10 March 2020, while the global maximum date is 14 December.</w:t>
      </w:r>
    </w:p>
    <w:p>
      <w:pPr>
        <w:numPr>
          <w:ilvl w:val="0"/>
          <w:numId w:val="10"/>
        </w:numPr>
        <w:spacing w:after="160" w:line="280" w:lineRule="auto"/>
      </w:pPr>
      <w:r>
        <w:t>Forecasting should model reporting corrections, temporal validation, uncertainty intervals, and non-stationarity; a naive trend projection would overstate confidence.</w:t>
      </w:r>
    </w:p>
    <w:p>
      <w:pPr>
        <w:pStyle w:val="Heading1"/>
      </w:pPr>
      <w:r>
        <w:t>12. Visualization quality assessment</w:t>
      </w:r>
    </w:p>
    <w:p>
      <w:pPr>
        <w:keepLines/>
      </w:pPr>
      <w:r>
        <w:rPr>
          <w:rFonts w:ascii="Calibri" w:hAnsi="Calibri"/>
          <w:b/>
          <w:color w:val="1F4D78"/>
        </w:rPr>
        <w:t xml:space="preserve">Strengths. </w:t>
      </w:r>
      <w:r>
        <w:t>The interface has coherent navigation, responsive CSS, loading/error states, accessible status roles, normalized comparisons, a geographic view, and annotation interaction. Color and spacing are consistent, and page-level payloads support responsive interaction without repeated API calls.</w:t>
      </w:r>
    </w:p>
    <w:p>
      <w:pPr>
        <w:keepLines/>
      </w:pPr>
      <w:r>
        <w:rPr>
          <w:rFonts w:ascii="Calibri" w:hAnsi="Calibri"/>
          <w:b/>
          <w:color w:val="1F4D78"/>
        </w:rPr>
        <w:t xml:space="preserve">Analytical UX. </w:t>
      </w:r>
      <w:r>
        <w:t>The overview deliberately combines raw totals with a per-capita map. Country and comparison pages expose date and metric controls, while empty-state figures avoid broken charts.</w:t>
      </w:r>
    </w:p>
    <w:p>
      <w:pPr>
        <w:keepLines/>
      </w:pPr>
      <w:r>
        <w:rPr>
          <w:rFonts w:ascii="Calibri" w:hAnsi="Calibri"/>
          <w:b/>
          <w:color w:val="1F4D78"/>
        </w:rPr>
        <w:t xml:space="preserve">Gaps. </w:t>
      </w:r>
      <w:r>
        <w:t>The overview top-ten bars use raw counts while the map uses per-capita values, but the UI does not explicitly explain that distinction. There are no uncertainty bands, correction markers, source attribution, methodology notes, downloadable data, demographic facets, or forecast/clustering views.</w:t>
      </w:r>
    </w:p>
    <w:p>
      <w:pPr>
        <w:keepLines/>
      </w:pPr>
      <w:r>
        <w:rPr>
          <w:rFonts w:ascii="Calibri" w:hAnsi="Calibri"/>
          <w:b/>
          <w:color w:val="7F6000"/>
        </w:rPr>
        <w:t xml:space="preserve">Verification limit. </w:t>
      </w:r>
      <w:r>
        <w:t>Dashboard callbacks have smoke tests, but the pages were not browser-rendered in this review because Docker Desktop was inaccessible from the sandbox. Visual quality is therefore assessed from code and CSS, not a captured runtime session.</w:t>
      </w:r>
    </w:p>
    <w:p>
      <w:r>
        <w:br w:type="page"/>
      </w:r>
    </w:p>
    <w:p>
      <w:pPr>
        <w:pStyle w:val="Heading1"/>
      </w:pPr>
      <w:r>
        <w:t>13. Submission-readiness roadmap</w:t>
      </w:r>
    </w:p>
    <w:tbl>
      <w:tblPr>
        <w:tblStyle w:val="TableGrid"/>
        <w:tblW w:type="dxa" w:w="9360"/>
        <w:jc w:val="left"/>
        <w:tblLayout w:type="fixed"/>
        <w:tblLook w:firstColumn="1" w:firstRow="1" w:lastColumn="0" w:lastRow="0" w:noHBand="0" w:noVBand="1" w:val="04A0"/>
        <w:tblInd w:type="dxa" w:w="120"/>
      </w:tblPr>
      <w:tblGrid>
        <w:gridCol w:w="950"/>
        <w:gridCol w:w="3200"/>
        <w:gridCol w:w="5210"/>
      </w:tblGrid>
      <w:tr>
        <w:trPr>
          <w:tblHeader w:val="true"/>
        </w:trPr>
        <w:tc>
          <w:tcPr>
            <w:tcW w:type="dxa" w:w="95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Priority</w:t>
            </w:r>
          </w:p>
        </w:tc>
        <w:tc>
          <w:tcPr>
            <w:tcW w:type="dxa" w:w="320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Required outcome</w:t>
            </w:r>
          </w:p>
        </w:tc>
        <w:tc>
          <w:tcPr>
            <w:tcW w:type="dxa" w:w="521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Exit criterion</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P0</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Implement forecasting</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Temporal holdout, baseline comparison, uncertainty intervals, API contract, dashboard view, and documented limitations</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P0</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Implement PySpark Bronze + profiling</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Pinned runtime/container, schema enforcement, quality output, and measured partition/broadcast decisions</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P0</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Commit and push reviewed code</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Clean git status and remote commit matching the submitted repository link</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P0</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Run clean-VM acceptance</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Compose build/start, healthy dependencies, Mongo indexes, analytical routes, annotation round trip, dashboard pages</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P1</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Evidence Snowflake optimization</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Query profiles and before/after latency/bytes/credits for representative endpoints</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P1</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Automate refresh safely</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Staged population load, atomic swap, mart snapshot refresh, cache invalidation, and failure rollback</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P1</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Strengthen analytical story</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Forecast and pattern sections plus caveats, synchronized-date note, and explain raw vs per-capita rankings</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P1</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Add MongoDB validator</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Database-side JSON Schema plus integration tests for invalid direct writes</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P2</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Optional clustering</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Feature definition, scaling, model selection, stability check, and interpretable segment profiles</w:t>
            </w:r>
          </w:p>
        </w:tc>
      </w:tr>
      <w:tr>
        <w:trPr/>
        <w:tc>
          <w:tcPr>
            <w:tcW w:type="dxa" w:w="95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P2</w:t>
            </w:r>
          </w:p>
        </w:tc>
        <w:tc>
          <w:tcPr>
            <w:tcW w:type="dxa" w:w="32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Production deployment profile</w:t>
            </w:r>
          </w:p>
        </w:tc>
        <w:tc>
          <w:tcPr>
            <w:tcW w:type="dxa" w:w="521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No reload/bind mount, non-root container, TLS/reverse proxy, secret injection, auth/rate limit</w:t>
            </w:r>
          </w:p>
        </w:tc>
      </w:tr>
    </w:tbl>
    <w:p>
      <w:pPr>
        <w:spacing w:after="20"/>
      </w:pPr>
    </w:p>
    <w:p>
      <w:pPr>
        <w:pStyle w:val="Heading2"/>
      </w:pPr>
      <w:r>
        <w:t>13.1 Recommended delivery sequence</w:t>
      </w:r>
    </w:p>
    <w:p>
      <w:pPr>
        <w:numPr>
          <w:ilvl w:val="0"/>
          <w:numId w:val="11"/>
        </w:numPr>
        <w:spacing w:after="160" w:line="280" w:lineRule="auto"/>
      </w:pPr>
      <w:r>
        <w:t>Freeze the current working tree: review, commit, push, and record the final commit hash.</w:t>
      </w:r>
    </w:p>
    <w:p>
      <w:pPr>
        <w:numPr>
          <w:ilvl w:val="0"/>
          <w:numId w:val="11"/>
        </w:numPr>
        <w:spacing w:after="160" w:line="280" w:lineRule="auto"/>
      </w:pPr>
      <w:r>
        <w:t>Add the minimal Spark Bronze/profiling path and document measured Spark choices honestly at current scale.</w:t>
      </w:r>
    </w:p>
    <w:p>
      <w:pPr>
        <w:numPr>
          <w:ilvl w:val="0"/>
          <w:numId w:val="11"/>
        </w:numPr>
        <w:spacing w:after="160" w:line="280" w:lineRule="auto"/>
      </w:pPr>
      <w:r>
        <w:t>Implement a defensible forecasting baseline with temporal evaluation before adding a more complex model.</w:t>
      </w:r>
    </w:p>
    <w:p>
      <w:pPr>
        <w:numPr>
          <w:ilvl w:val="0"/>
          <w:numId w:val="11"/>
        </w:numPr>
        <w:spacing w:after="160" w:line="280" w:lineRule="auto"/>
      </w:pPr>
      <w:r>
        <w:t>Capture Snowflake query profiles and resolve the query-acceleration drift in bootstrap SQL.</w:t>
      </w:r>
    </w:p>
    <w:p>
      <w:pPr>
        <w:numPr>
          <w:ilvl w:val="0"/>
          <w:numId w:val="11"/>
        </w:numPr>
        <w:spacing w:after="160" w:line="280" w:lineRule="auto"/>
      </w:pPr>
      <w:r>
        <w:t>Run a clean-VM acceptance test and capture evidence for the final report.</w:t>
      </w:r>
    </w:p>
    <w:p>
      <w:pPr>
        <w:numPr>
          <w:ilvl w:val="0"/>
          <w:numId w:val="11"/>
        </w:numPr>
        <w:spacing w:after="160" w:line="280" w:lineRule="auto"/>
      </w:pPr>
      <w:r>
        <w:t>Update the README and final implementation report so every task has evidence, result, limitation, and reproducible command.</w:t>
      </w:r>
    </w:p>
    <w:p>
      <w:pPr>
        <w:pStyle w:val="Heading1"/>
      </w:pPr>
      <w:r>
        <w:t>14. Conclusion</w:t>
      </w:r>
    </w:p>
    <w:p>
      <w:r>
        <w:t>The project demonstrates solid senior-level instincts in data contracts, cost-aware caching, least-privilege access, SQL normalization, operational logging, and dashboard request design. The live Snowflake deployment and passing tests make the implementation more than a paper exercise.</w:t>
      </w:r>
    </w:p>
    <w:p>
      <w:r>
        <w:t>However, the bootcamp brief must be judged by explicit completion rather than architectural promise. Forecasting is absent, the locally mandated Spark path is absent, performance optimization lacks measurement, and the reviewed code is not fully committed. Closing those items and producing clean-VM evidence should move the project from a strong partial delivery to a defensible final submission.</w:t>
      </w:r>
    </w:p>
    <w:p>
      <w:pPr>
        <w:pStyle w:val="CalloutWarning"/>
        <w:shd w:fill="FFF2CC"/>
        <w:pBdr>
          <w:left w:val="single" w:sz="18" w:space="6" w:color="D6A100"/>
        </w:pBdr>
      </w:pPr>
      <w:r>
        <w:rPr>
          <w:b/>
        </w:rPr>
        <w:t xml:space="preserve">Final recommendation: </w:t>
      </w:r>
      <w:r>
        <w:t>Do not submit the repository in its current state. Complete the four P0 outcomes, update this report with forecast/Spark results and clean-VM evidence, confirm the student name, then regenerate the final Word or PDF artifact from the final commit.</w:t>
      </w:r>
    </w:p>
    <w:p>
      <w:r>
        <w:br w:type="page"/>
      </w:r>
    </w:p>
    <w:p>
      <w:pPr>
        <w:pStyle w:val="Heading1"/>
      </w:pPr>
      <w:r>
        <w:t>Appendix A. Evidence inventory</w:t>
      </w:r>
    </w:p>
    <w:p>
      <w:pPr>
        <w:keepLines/>
      </w:pPr>
      <w:r>
        <w:rPr>
          <w:rFonts w:ascii="Calibri" w:hAnsi="Calibri"/>
          <w:b/>
          <w:color w:val="1F4D78"/>
        </w:rPr>
        <w:t xml:space="preserve">Assignment brief. </w:t>
      </w:r>
      <w:r>
        <w:t>C:\Users\nesto\Downloads\Bootcamp_project_task_2026.md</w:t>
      </w:r>
    </w:p>
    <w:p>
      <w:pPr>
        <w:keepLines/>
      </w:pPr>
      <w:r>
        <w:rPr>
          <w:rFonts w:ascii="Calibri" w:hAnsi="Calibri"/>
          <w:b/>
          <w:color w:val="1F4D78"/>
        </w:rPr>
        <w:t xml:space="preserve">Additional engineering brief. </w:t>
      </w:r>
      <w:r>
        <w:t>ahdsd.md</w:t>
      </w:r>
    </w:p>
    <w:p>
      <w:pPr>
        <w:keepLines/>
      </w:pPr>
      <w:r>
        <w:rPr>
          <w:rFonts w:ascii="Calibri" w:hAnsi="Calibri"/>
          <w:b/>
          <w:color w:val="1F4D78"/>
        </w:rPr>
        <w:t xml:space="preserve">Repository documentation. </w:t>
      </w:r>
      <w:r>
        <w:t>README.md, tasks.md, .env.example, pyproject.toml, uv.lock</w:t>
      </w:r>
    </w:p>
    <w:p>
      <w:pPr>
        <w:keepLines/>
      </w:pPr>
      <w:r>
        <w:rPr>
          <w:rFonts w:ascii="Calibri" w:hAnsi="Calibri"/>
          <w:b/>
          <w:color w:val="1F4D78"/>
        </w:rPr>
        <w:t xml:space="preserve">Data pipeline. </w:t>
      </w:r>
      <w:r>
        <w:t>sql/00_project_setup.sql through sql/07_analysis_queries.sql; scripts/load_population.py; scripts/run_eda.py</w:t>
      </w:r>
    </w:p>
    <w:p>
      <w:pPr>
        <w:keepLines/>
      </w:pPr>
      <w:r>
        <w:rPr>
          <w:rFonts w:ascii="Calibri" w:hAnsi="Calibri"/>
          <w:b/>
          <w:color w:val="1F4D78"/>
        </w:rPr>
        <w:t xml:space="preserve">Application. </w:t>
      </w:r>
      <w:r>
        <w:t>app/api, app/models, app/repositories, app/services, app/dashboard</w:t>
      </w:r>
    </w:p>
    <w:p>
      <w:pPr>
        <w:keepLines/>
      </w:pPr>
      <w:r>
        <w:rPr>
          <w:rFonts w:ascii="Calibri" w:hAnsi="Calibri"/>
          <w:b/>
          <w:color w:val="1F4D78"/>
        </w:rPr>
        <w:t xml:space="preserve">Operations. </w:t>
      </w:r>
      <w:r>
        <w:t>dockerfile, compose.yaml, scripts/setup_mongodb.py, scripts/clear_cache.py</w:t>
      </w:r>
    </w:p>
    <w:p>
      <w:pPr>
        <w:keepLines/>
      </w:pPr>
      <w:r>
        <w:rPr>
          <w:rFonts w:ascii="Calibri" w:hAnsi="Calibri"/>
          <w:b/>
          <w:color w:val="1F4D78"/>
        </w:rPr>
        <w:t xml:space="preserve">Quality. </w:t>
      </w:r>
      <w:r>
        <w:t>.pre-commit-config.yaml, .github/workflows/lint.yml, tests/</w:t>
      </w:r>
    </w:p>
    <w:p>
      <w:pPr>
        <w:pStyle w:val="Heading1"/>
      </w:pPr>
      <w:r>
        <w:t>Appendix B. Verification snapshot</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Check</w:t>
            </w:r>
          </w:p>
        </w:tc>
        <w:tc>
          <w:tcPr>
            <w:tcW w:type="dxa" w:w="6660"/>
            <w:vAlign w:val="center"/>
            <w:shd w:fill="F2F4F7"/>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color w:val="1F4D78"/>
                <w:sz w:val="18"/>
              </w:rPr>
              <w:t>Observed result</w:t>
            </w:r>
          </w:p>
        </w:tc>
      </w:tr>
      <w:tr>
        <w:trPr/>
        <w:tc>
          <w:tcPr>
            <w:tcW w:type="dxa" w:w="2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Unit/contract tests</w:t>
            </w:r>
          </w:p>
        </w:tc>
        <w:tc>
          <w:tcPr>
            <w:tcW w:type="dxa" w:w="6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21 passed</w:t>
            </w:r>
          </w:p>
        </w:tc>
      </w:tr>
      <w:tr>
        <w:trPr/>
        <w:tc>
          <w:tcPr>
            <w:tcW w:type="dxa" w:w="2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Ruff</w:t>
            </w:r>
          </w:p>
        </w:tc>
        <w:tc>
          <w:tcPr>
            <w:tcW w:type="dxa" w:w="6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All checks passed</w:t>
            </w:r>
          </w:p>
        </w:tc>
      </w:tr>
      <w:tr>
        <w:trPr/>
        <w:tc>
          <w:tcPr>
            <w:tcW w:type="dxa" w:w="2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isort</w:t>
            </w:r>
          </w:p>
        </w:tc>
        <w:tc>
          <w:tcPr>
            <w:tcW w:type="dxa" w:w="6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Passed</w:t>
            </w:r>
          </w:p>
        </w:tc>
      </w:tr>
      <w:tr>
        <w:trPr/>
        <w:tc>
          <w:tcPr>
            <w:tcW w:type="dxa" w:w="2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uv lock</w:t>
            </w:r>
          </w:p>
        </w:tc>
        <w:tc>
          <w:tcPr>
            <w:tcW w:type="dxa" w:w="6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Consistent; 84 packages resolved</w:t>
            </w:r>
          </w:p>
        </w:tc>
      </w:tr>
      <w:tr>
        <w:trPr/>
        <w:tc>
          <w:tcPr>
            <w:tcW w:type="dxa" w:w="2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Compose configuration</w:t>
            </w:r>
          </w:p>
        </w:tc>
        <w:tc>
          <w:tcPr>
            <w:tcW w:type="dxa" w:w="6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Parsed successfully</w:t>
            </w:r>
          </w:p>
        </w:tc>
      </w:tr>
      <w:tr>
        <w:trPr/>
        <w:tc>
          <w:tcPr>
            <w:tcW w:type="dxa" w:w="2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Docker runtime</w:t>
            </w:r>
          </w:p>
        </w:tc>
        <w:tc>
          <w:tcPr>
            <w:tcW w:type="dxa" w:w="6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Not run: sandbox could not access Docker Desktop pipe</w:t>
            </w:r>
          </w:p>
        </w:tc>
      </w:tr>
      <w:tr>
        <w:trPr/>
        <w:tc>
          <w:tcPr>
            <w:tcW w:type="dxa" w:w="2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Snowflake region</w:t>
            </w:r>
          </w:p>
        </w:tc>
        <w:tc>
          <w:tcPr>
            <w:tcW w:type="dxa" w:w="6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AWS_EU_NORTH_1 (Stockholm)</w:t>
            </w:r>
          </w:p>
        </w:tc>
      </w:tr>
      <w:tr>
        <w:trPr/>
        <w:tc>
          <w:tcPr>
            <w:tcW w:type="dxa" w:w="2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API role</w:t>
            </w:r>
          </w:p>
        </w:tc>
        <w:tc>
          <w:tcPr>
            <w:tcW w:type="dxa" w:w="6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COVID_APP_ROLE successfully selected 214 latest rows</w:t>
            </w:r>
          </w:p>
        </w:tc>
      </w:tr>
      <w:tr>
        <w:trPr/>
        <w:tc>
          <w:tcPr>
            <w:tcW w:type="dxa" w:w="270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Repository</w:t>
            </w:r>
          </w:p>
        </w:tc>
        <w:tc>
          <w:tcPr>
            <w:tcW w:type="dxa" w:w="6660"/>
            <w:vAlign w:val="center"/>
            <w:shd w:fill="FFFFFF"/>
            <w:tcBorders>
              <w:top w:val="single" w:sz="4" w:color="C8D1DC"/>
              <w:left w:val="single" w:sz="4" w:color="C8D1DC"/>
              <w:bottom w:val="single" w:sz="4" w:color="C8D1DC"/>
              <w:right w:val="single" w:sz="4" w:color="C8D1DC"/>
              <w:insideH w:val="single" w:sz="4" w:color="C8D1DC"/>
              <w:insideV w:val="single" w:sz="4" w:color="C8D1DC"/>
            </w:tcBorders>
            <w:tcMar>
              <w:top w:w="95" w:type="dxa"/>
              <w:bottom w:w="95" w:type="dxa"/>
              <w:start w:w="120" w:type="dxa"/>
              <w:end w:w="120" w:type="dxa"/>
            </w:tcMar>
          </w:tcPr>
          <w:p>
            <w:pPr>
              <w:spacing w:before="0" w:after="60" w:line="252" w:lineRule="auto"/>
            </w:pPr>
            <w:r/>
            <w:r>
              <w:rPr>
                <w:rFonts w:ascii="Calibri" w:hAnsi="Calibri"/>
                <w:b w:val="0"/>
                <w:color w:val="1F2933"/>
                <w:sz w:val="18"/>
              </w:rPr>
              <w:t>api-works / 36b4267; local working tree contains uncommitted changes</w:t>
            </w:r>
          </w:p>
        </w:tc>
      </w:tr>
    </w:tbl>
    <w:p>
      <w:pPr>
        <w:spacing w:after="20"/>
      </w:pPr>
    </w:p>
    <w:p>
      <w:pPr>
        <w:pStyle w:val="Heading1"/>
      </w:pPr>
      <w:r>
        <w:t>Appendix C. Repository link</w:t>
      </w:r>
    </w:p>
    <w:p>
      <w:r>
        <w:t xml:space="preserve">GitHub repository: </w:t>
      </w:r>
      <w:hyperlink r:id="rId11">
        <w:r>
          <w:rPr>
            <w:color w:val="2E74B5"/>
            <w:u w:val="single"/>
          </w:rPr>
          <w:t>Open the GitHub repository</w:t>
        </w:r>
      </w:hyperlink>
    </w:p>
    <w:p>
      <w:pPr>
        <w:pStyle w:val="Evidence"/>
      </w:pPr>
      <w:r>
        <w:t>The reviewed branch was api-works. Because the working tree was dirty at review time, the link does not yet reproduce every reviewed line; commit and push before submission.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7"/>
      </w:rPr>
      <w:t xml:space="preserve">Nestor Kulik  |  26 July 2026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COVID-19 Analytics Platform  |  Project State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200" w:after="60"/>
    </w:pPr>
    <w:rPr>
      <w:rFonts w:ascii="Calibri" w:hAnsi="Calibri"/>
      <w:b/>
      <w:color w:val="2E74B5"/>
      <w:sz w:val="19"/>
    </w:rPr>
  </w:style>
  <w:style w:type="paragraph" w:customStyle="1" w:styleId="Callout">
    <w:name w:val="Callout"/>
    <w:pPr>
      <w:spacing w:before="100" w:after="160" w:line="259" w:lineRule="auto"/>
      <w:ind w:left="259" w:right="115"/>
    </w:pPr>
    <w:rPr>
      <w:rFonts w:ascii="Calibri" w:hAnsi="Calibri"/>
      <w:color w:val="0B2545"/>
      <w:sz w:val="21"/>
    </w:rPr>
  </w:style>
  <w:style w:type="paragraph" w:customStyle="1" w:styleId="CalloutWarning">
    <w:name w:val="Callout Warning"/>
    <w:pPr>
      <w:spacing w:before="100" w:after="160" w:line="259" w:lineRule="auto"/>
      <w:ind w:left="259" w:right="115"/>
    </w:pPr>
    <w:rPr>
      <w:rFonts w:ascii="Calibri" w:hAnsi="Calibri"/>
      <w:color w:val="7F6000"/>
      <w:sz w:val="21"/>
    </w:rPr>
  </w:style>
  <w:style w:type="paragraph" w:customStyle="1" w:styleId="CalloutRisk">
    <w:name w:val="Callout Risk"/>
    <w:pPr>
      <w:spacing w:before="100" w:after="160" w:line="259" w:lineRule="auto"/>
      <w:ind w:left="259" w:right="115"/>
    </w:pPr>
    <w:rPr>
      <w:rFonts w:ascii="Calibri" w:hAnsi="Calibri"/>
      <w:color w:val="9C0006"/>
      <w:sz w:val="21"/>
    </w:rPr>
  </w:style>
  <w:style w:type="paragraph" w:customStyle="1" w:styleId="CalloutSuccess">
    <w:name w:val="Callout Success"/>
    <w:pPr>
      <w:spacing w:before="100" w:after="160" w:line="259" w:lineRule="auto"/>
      <w:ind w:left="259" w:right="115"/>
    </w:pPr>
    <w:rPr>
      <w:rFonts w:ascii="Calibri" w:hAnsi="Calibri"/>
      <w:color w:val="375623"/>
      <w:sz w:val="21"/>
    </w:rPr>
  </w:style>
  <w:style w:type="paragraph" w:customStyle="1" w:styleId="CodeBlock">
    <w:name w:val="Code Block"/>
    <w:pPr>
      <w:spacing w:before="80" w:after="120" w:line="240" w:lineRule="auto"/>
      <w:ind w:left="259" w:right="144"/>
    </w:pPr>
    <w:rPr>
      <w:rFonts w:ascii="Consolas" w:hAnsi="Consolas"/>
      <w:color w:val="1F2933"/>
      <w:sz w:val="17"/>
    </w:rPr>
  </w:style>
  <w:style w:type="paragraph" w:customStyle="1" w:styleId="Evidence">
    <w:name w:val="Evidence"/>
    <w:pPr>
      <w:spacing w:before="40" w:after="100"/>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ynku20777/bootcamp-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Analytics Platform - Project State Review</dc:title>
  <dc:subject>Bootcamp requirement coverage and submission readiness</dc:subject>
  <dc:creator>Nestor Kulik</dc:creator>
  <cp:keywords>Snowflake, FastAPI, MongoDB, Redis, Dash, Spark, bootcamp</cp:keywords>
  <dc:description>generated by python-docx</dc:description>
  <cp:lastModifiedBy/>
  <cp:revision>1</cp:revision>
  <dcterms:created xsi:type="dcterms:W3CDTF">2013-12-23T23:15:00Z</dcterms:created>
  <dcterms:modified xsi:type="dcterms:W3CDTF">2013-12-23T23:15:00Z</dcterms:modified>
  <cp:category/>
</cp:coreProperties>
</file>