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rPr>
          <w:b w:val="1"/>
          <w:bCs w:val="1"/>
          <w:sz w:val="24"/>
          <w:szCs w:val="24"/>
        </w:rPr>
      </w:pPr>
      <w:bookmarkStart w:colFirst="0" w:colLast="0" w:name="_kju62ibat3x8" w:id="0"/>
      <w:bookmarkEnd w:id="0"/>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Bản thảo SRS phân hệ "Đặt tour trọn gói":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325" w:hRule="atLeast"/>
          <w:tblHeader w:val="0"/>
        </w:trPr>
        <w:tc>
          <w:tcPr>
            <w:tcBorders>
              <w:top w:color="e2e8f0" w:space="0" w:sz="5" w:val="single"/>
              <w:left w:color="000000" w:space="0" w:sz="0" w:val="nil"/>
              <w:bottom w:color="e2e8f0" w:space="0" w:sz="5" w:val="single"/>
              <w:right w:color="000000" w:space="0" w:sz="0" w:val="nil"/>
            </w:tcBorders>
            <w:shd w:fill="f8f9fa" w:val="clear"/>
            <w:tcMar>
              <w:top w:w="100.0" w:type="dxa"/>
              <w:left w:w="160.0" w:type="dxa"/>
              <w:bottom w:w="100.0" w:type="dxa"/>
              <w:right w:w="16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40" w:before="80" w:lineRule="auto"/>
              <w:rPr>
                <w:color w:val="282828"/>
                <w:sz w:val="21"/>
                <w:szCs w:val="21"/>
              </w:rPr>
            </w:pPr>
            <w:r w:rsidDel="00000000" w:rsidR="00000000" w:rsidRPr="00000000">
              <w:rPr>
                <w:color w:val="282828"/>
                <w:sz w:val="21"/>
                <w:szCs w:val="21"/>
                <w:rtl w:val="0"/>
              </w:rPr>
              <w:t xml:space="preserve">[1.2 Scope]</w:t>
              <w:br w:type="textWrapping"/>
              <w:t xml:space="preserve">- Hệ thống hỗ trợ khách hàng doanh nghiệp đặt tour trọn gói cho nhóm từ 10 người trở lên.</w:t>
              <w:br w:type="textWrapping"/>
              <w:br w:type="textWrapping"/>
              <w:t xml:space="preserve">[2.4 Constraints]</w:t>
              <w:br w:type="textWrapping"/>
              <w:t xml:space="preserve">- Actor chính: Nhân viên đặt tour (phía khách hàng doanh nghiệp), Điều phối viên RikkeiTravel.</w:t>
              <w:br w:type="textWrapping"/>
              <w:t xml:space="preserve">- Use Case: Tạo yêu cầu đặt tour, Duyệt báo giá, Xác nhận thanh toán.</w:t>
              <w:br w:type="textWrapping"/>
              <w:br w:type="textWrapping"/>
              <w:t xml:space="preserve">[3.2 Functional Requirements]</w:t>
              <w:br w:type="textWrapping"/>
              <w:t xml:space="preserve">- REQ-21: Hệ thống phải phản hồi báo giá cho khách hàng doanh nghiệp một cách nhanh chóng sau khi nhận yêu cầu.</w:t>
              <w:br w:type="textWrapping"/>
              <w:t xml:space="preserve">- REQ-22: Khi khách hàng xác nhận thanh toán đủ 100% giá trị hợp đồng, hệ thống tự động chuyển trạng thái đơn sang "Đã xác nhận".</w:t>
              <w:br w:type="textWrapping"/>
              <w:t xml:space="preserve">- REQ-23 (trang 8): Điều phối viên có thể chỉnh sửa báo giá bất kỳ lúc nào, kể cả sau khi khách hàng đã xác nhận thanh toán.</w:t>
              <w:br w:type="textWrapping"/>
              <w:t xml:space="preserve">- REQ-24 (trang 19): Sau khi khách hàng xác nhận thanh toán, mọi thông tin báo giá được khóa, không ai được chỉnh sửa.</w:t>
              <w:br w:type="textWrapping"/>
              <w:t xml:space="preserve">- REQ-25: Tính năng xuất báo giá ra file PDF có thể được cân nhắc bổ sung sau, tùy nguồn lực đội phát triển.</w:t>
              <w:br w:type="textWrapping"/>
              <w:br w:type="textWrapping"/>
              <w:t xml:space="preserve">[1.3 Definitions]</w:t>
              <w:br w:type="textWrapping"/>
              <w:t xml:space="preserve">- Sơ đồ ERD lưu trữ Yêu cầu đặt tour - Báo giá - Hợp đồng.</w:t>
            </w:r>
          </w:p>
        </w:tc>
      </w:tr>
    </w:tbl>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1 — Tự lập bảng lỗi phát hiện được</w:t>
      </w:r>
      <w:r w:rsidDel="00000000" w:rsidR="00000000" w:rsidRPr="00000000">
        <w:rPr>
          <w:sz w:val="21"/>
          <w:szCs w:val="21"/>
          <w:rtl w:val="0"/>
        </w:rPr>
        <w:t xml:space="preserve"> (tự xác định số dòng cần thiết, không giới hạn số lỗi tối thiểu, nhưng phải tìm đủ cả 2 nhóm lỗi: sai cấu trúc IEEE 830 và vi phạm đặc tính vàng, tối thiểu 3 đặc tính vàng khác nhau):</w:t>
      </w:r>
    </w:p>
    <w:p w:rsidR="00000000" w:rsidDel="00000000" w:rsidP="00000000" w:rsidRDefault="00000000" w:rsidRPr="00000000" w14:paraId="00000005">
      <w:pPr>
        <w:rPr/>
      </w:pPr>
      <w:r w:rsidDel="00000000" w:rsidR="00000000" w:rsidRPr="00000000">
        <w:rPr>
          <w:rtl w:val="0"/>
        </w:rPr>
      </w:r>
    </w:p>
    <w:tbl>
      <w:tblPr>
        <w:tblStyle w:val="Table2"/>
        <w:tblW w:w="9025.5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00"/>
        <w:gridCol w:w="2800"/>
        <w:gridCol w:w="2825.5119999999997"/>
        <w:tblGridChange w:id="0">
          <w:tblGrid>
            <w:gridCol w:w="600"/>
            <w:gridCol w:w="2800"/>
            <w:gridCol w:w="2800"/>
            <w:gridCol w:w="2825.5119999999997"/>
          </w:tblGrid>
        </w:tblGridChange>
      </w:tblGrid>
      <w:tr>
        <w:trPr>
          <w:cantSplit w:val="0"/>
          <w:trHeight w:val="780" w:hRule="atLeast"/>
          <w:tblHeader w:val="0"/>
        </w:trPr>
        <w:tc>
          <w:tcPr>
            <w:tcBorders>
              <w:top w:color="d3d3d3" w:space="0" w:sz="5" w:val="single"/>
              <w:left w:color="000000" w:space="0" w:sz="0" w:val="nil"/>
              <w:bottom w:color="d3d3d3" w:space="0" w:sz="5" w:val="single"/>
              <w:right w:color="d3d3d3" w:space="0" w:sz="5" w:val="single"/>
            </w:tcBorders>
            <w:shd w:fill="1f4e79" w:val="clear"/>
            <w:tcMar>
              <w:left w:w="140.0" w:type="dxa"/>
              <w:right w:w="140.0" w:type="dxa"/>
            </w:tcMa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pPr>
            <w:r w:rsidDel="00000000" w:rsidR="00000000" w:rsidRPr="00000000">
              <w:rPr>
                <w:b w:val="1"/>
                <w:bCs w:val="1"/>
                <w:color w:val="ffffff"/>
                <w:sz w:val="21"/>
                <w:szCs w:val="21"/>
                <w:rtl w:val="0"/>
              </w:rPr>
              <w:t xml:space="preserve">STT</w:t>
            </w:r>
            <w:r w:rsidDel="00000000" w:rsidR="00000000" w:rsidRPr="00000000">
              <w:rPr>
                <w:rtl w:val="0"/>
              </w:rPr>
            </w:r>
          </w:p>
        </w:tc>
        <w:tc>
          <w:tcPr>
            <w:tcBorders>
              <w:top w:color="d3d3d3" w:space="0" w:sz="5" w:val="single"/>
              <w:left w:color="000000" w:space="0" w:sz="0" w:val="nil"/>
              <w:bottom w:color="d3d3d3" w:space="0" w:sz="5" w:val="single"/>
              <w:right w:color="d3d3d3" w:space="0" w:sz="5" w:val="single"/>
            </w:tcBorders>
            <w:shd w:fill="1f4e79" w:val="clear"/>
            <w:tcMar>
              <w:left w:w="140.0" w:type="dxa"/>
              <w:right w:w="140.0" w:type="dxa"/>
            </w:tcMa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pPr>
            <w:r w:rsidDel="00000000" w:rsidR="00000000" w:rsidRPr="00000000">
              <w:rPr>
                <w:b w:val="1"/>
                <w:bCs w:val="1"/>
                <w:color w:val="ffffff"/>
                <w:sz w:val="21"/>
                <w:szCs w:val="21"/>
                <w:rtl w:val="0"/>
              </w:rPr>
              <w:t xml:space="preserve">Nội dung lỗi</w:t>
            </w:r>
            <w:r w:rsidDel="00000000" w:rsidR="00000000" w:rsidRPr="00000000">
              <w:rPr>
                <w:rtl w:val="0"/>
              </w:rPr>
            </w:r>
          </w:p>
        </w:tc>
        <w:tc>
          <w:tcPr>
            <w:tcBorders>
              <w:top w:color="d3d3d3" w:space="0" w:sz="5" w:val="single"/>
              <w:left w:color="000000" w:space="0" w:sz="0" w:val="nil"/>
              <w:bottom w:color="d3d3d3" w:space="0" w:sz="5" w:val="single"/>
              <w:right w:color="d3d3d3" w:space="0" w:sz="5" w:val="single"/>
            </w:tcBorders>
            <w:shd w:fill="1f4e79" w:val="clear"/>
            <w:tcMar>
              <w:left w:w="140.0" w:type="dxa"/>
              <w:right w:w="140.0" w:type="dxa"/>
            </w:tcMa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pPr>
            <w:r w:rsidDel="00000000" w:rsidR="00000000" w:rsidRPr="00000000">
              <w:rPr>
                <w:b w:val="1"/>
                <w:bCs w:val="1"/>
                <w:color w:val="ffffff"/>
                <w:sz w:val="21"/>
                <w:szCs w:val="21"/>
                <w:rtl w:val="0"/>
              </w:rPr>
              <w:t xml:space="preserve">Phân loại lỗi (Sai vị trí IEEE 830 / Vi phạm đặc tính vàng nào)</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left w:w="140.0" w:type="dxa"/>
              <w:right w:w="140.0" w:type="dxa"/>
            </w:tcMa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pPr>
            <w:r w:rsidDel="00000000" w:rsidR="00000000" w:rsidRPr="00000000">
              <w:rPr>
                <w:b w:val="1"/>
                <w:bCs w:val="1"/>
                <w:color w:val="ffffff"/>
                <w:sz w:val="21"/>
                <w:szCs w:val="21"/>
                <w:rtl w:val="0"/>
              </w:rPr>
              <w:t xml:space="preserve">Vị trí đúng hoặc cách khắc phục</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1</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[2.4 Constraints] chứa Actor và Use Case</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Sai vị trí cấu trúc IEEE 830</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left w:w="140.0" w:type="dxa"/>
              <w:right w:w="140.0" w:type="dxa"/>
            </w:tcMa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Chuyển sang mục [2.2 Product Functions] hoặc [2.3 User Characteristics]</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2</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[1.3 Definitions] chứa thông tin Sơ đồ ERD</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Sai vị trí cấu trúc IEEE 830</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left w:w="140.0" w:type="dxa"/>
              <w:right w:w="140.0" w:type="dxa"/>
            </w:tcMa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Chuyển sang mục [3.5 Database Requirements] hoặc Phụ lục (Appendix)</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3</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REQ-21: "phản hồi báo giá... một cách nhanh chóng"</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Vi phạm đặc tính Verifiable (Có thể kiểm chứng được) / Mơ hồ</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left w:w="140.0" w:type="dxa"/>
              <w:right w:w="140.0" w:type="dxa"/>
            </w:tcMa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Quy định thời gian cụ thể (ví dụ: trong vòng 24 giờ làm việc)</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4</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Mâu thuẫn giữa REQ-23 (cho phép sửa bất kỳ lúc nào) và REQ-24 (khóa báo giá sau xác nhận)</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Vi phạm đặc tính Consistent (Nhất quán)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left w:w="140.0" w:type="dxa"/>
              <w:right w:w="140.0" w:type="dxa"/>
            </w:tcMa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Thống nhất quy tắc: Khi đã xác nhận thanh toán đủ 100%, khóa không cho chỉnh sửa báo giá trực tiếp</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5</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REQ-25: "có thể được cân nhắc bổ sung sau..." không xếp hạng rõ ràng</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left w:w="140.0" w:type="dxa"/>
              <w:right w:w="140.0" w:type="dxa"/>
            </w:tcMa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Vi phạm đặc tính Ranked for importance and/or stability (Phân loại ưu tiên)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left w:w="140.0" w:type="dxa"/>
              <w:right w:w="140.0" w:type="dxa"/>
            </w:tcMa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pPr>
            <w:r w:rsidDel="00000000" w:rsidR="00000000" w:rsidRPr="00000000">
              <w:rPr>
                <w:sz w:val="21"/>
                <w:szCs w:val="21"/>
                <w:rtl w:val="0"/>
              </w:rPr>
              <w:t xml:space="preserve">Gắn nhãn mức độ ưu tiên rõ ràng (ví dụ: Priority: Low / Optional)</w:t>
            </w:r>
            <w:r w:rsidDel="00000000" w:rsidR="00000000" w:rsidRPr="00000000">
              <w:rPr>
                <w:rtl w:val="0"/>
              </w:rPr>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2 — Đề xuất bản chỉnh sửa hoàn chỉnh:</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360" w:firstLine="0"/>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Viết lại toàn bộ các mục bị sai vị trí vào đúng chương/mục IEEE 830.</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360" w:firstLine="0"/>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Viết lại REQ-21 đạt chuẩn Verifiable.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360" w:firstLine="0"/>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Xử lý dứt điểm mâu thuẫn giữa REQ-23 và REQ-24, đề xuất 1 quy tắc nghiệp vụ duy nhất, quán triệt thống nhất toàn tài liệu.</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360" w:firstLine="0"/>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Bổ sung mức độ ưu tiên rõ ràng cho REQ-25.</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360" w:before="360" w:line="288" w:lineRule="auto"/>
        <w:rPr/>
      </w:pPr>
      <w:bookmarkStart w:colFirst="0" w:colLast="0" w:name="_o4xaref6gas5" w:id="1"/>
      <w:bookmarkEnd w:id="1"/>
      <w:r w:rsidDel="00000000" w:rsidR="00000000" w:rsidRPr="00000000">
        <w:rPr>
          <w:b w:val="1"/>
          <w:bCs w:val="1"/>
          <w:sz w:val="24"/>
          <w:szCs w:val="24"/>
          <w:rtl w:val="0"/>
        </w:rPr>
        <w:t xml:space="preserve">Bản đề xuất chỉnh sửa hoàn chỉnh (SRS Refactored)</w:t>
      </w:r>
      <w:r w:rsidDel="00000000" w:rsidR="00000000" w:rsidRPr="00000000">
        <w:rPr>
          <w:rtl w:val="0"/>
        </w:rPr>
      </w:r>
    </w:p>
    <w:tbl>
      <w:tblPr>
        <w:tblStyle w:val="Table3"/>
        <w:tblW w:w="9025.5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2"/>
        <w:tblGridChange w:id="0">
          <w:tblGrid>
            <w:gridCol w:w="9025.512"/>
          </w:tblGrid>
        </w:tblGridChange>
      </w:tblGrid>
      <w:tr>
        <w:trPr>
          <w:cantSplit w:val="0"/>
          <w:trHeight w:val="4000" w:hRule="atLeast"/>
          <w:tblHeader w:val="0"/>
        </w:trPr>
        <w:tc>
          <w:tcPr>
            <w:tcBorders>
              <w:top w:color="e2e8f0" w:space="0" w:sz="5" w:val="single"/>
              <w:left w:color="000000" w:space="0" w:sz="0" w:val="nil"/>
              <w:bottom w:color="e2e8f0" w:space="0" w:sz="5" w:val="single"/>
              <w:right w:color="000000" w:space="0" w:sz="0" w:val="nil"/>
            </w:tcBorders>
            <w:shd w:fill="f8f9fa" w:val="clear"/>
            <w:tcMar>
              <w:left w:w="160.0" w:type="dxa"/>
              <w:right w:w="160.0" w:type="dxa"/>
            </w:tcMa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80" w:lineRule="auto"/>
              <w:rPr/>
            </w:pPr>
            <w:r w:rsidDel="00000000" w:rsidR="00000000" w:rsidRPr="00000000">
              <w:rPr>
                <w:color w:val="282828"/>
                <w:sz w:val="21"/>
                <w:szCs w:val="21"/>
                <w:rtl w:val="0"/>
              </w:rPr>
              <w:t xml:space="preserve">[1.2 Scope]</w:t>
              <w:br w:type="textWrapping"/>
              <w:t xml:space="preserve">- Hệ thống hỗ trợ khách hàng doanh nghiệp đặt tour trọn gói cho nhóm từ 10 người trở lên.</w:t>
              <w:br w:type="textWrapping"/>
              <w:br w:type="textWrapping"/>
              <w:t xml:space="preserve">[1.3 Definitions, Acronyms, and Abbreviations]</w:t>
              <w:br w:type="textWrapping"/>
              <w:t xml:space="preserve">- SRS: Software Requirements Specification.</w:t>
              <w:br w:type="textWrapping"/>
              <w:t xml:space="preserve">- Khách hàng doanh nghiệp: Đơn vị đăng ký đặt tour trọn gói cho đoàn từ 10 người trở lên.</w:t>
              <w:br w:type="textWrapping"/>
              <w:br w:type="textWrapping"/>
              <w:t xml:space="preserve">[2.2 Product Functions]</w:t>
              <w:br w:type="textWrapping"/>
              <w:t xml:space="preserve">- Hệ thống cung cấp các chức năng chính: Tạo yêu cầu đặt tour, Duyệt báo giá, Xác nhận thanh toán.</w:t>
              <w:br w:type="textWrapping"/>
              <w:br w:type="textWrapping"/>
              <w:t xml:space="preserve">[2.3 User Characteristics]</w:t>
              <w:br w:type="textWrapping"/>
              <w:t xml:space="preserve">- Actor chính:</w:t>
              <w:br w:type="textWrapping"/>
              <w:t xml:space="preserve">  + Nhân viên đặt tour (phía khách hàng doanh nghiệp): Thực hiện tạo yêu cầu, duyệt báo giá và thanh toán.</w:t>
              <w:br w:type="textWrapping"/>
              <w:t xml:space="preserve">  + Điều phối viên RikkeiTravel: Tiếp nhận yêu cầu, lập báo giá và xác nhận hoàn tất dịch vụ.</w:t>
              <w:br w:type="textWrapping"/>
              <w:br w:type="textWrapping"/>
              <w:t xml:space="preserve">[3.2 Functional Requirements]</w:t>
              <w:br w:type="textWrapping"/>
              <w:t xml:space="preserve">- REQ-21 [Priority: High]: Hệ thống phải gửi thông báo và hiển thị báo giá cho khách hàng doanh nghiệp trong vòng 24 giờ làm việc kể từ khi nhận được yêu cầu đặt tour.</w:t>
              <w:br w:type="textWrapping"/>
              <w:t xml:space="preserve">- REQ-22 [Priority: High]: Khi khách hàng xác nhận thanh toán đủ 100% giá trị hợp đồng, hệ thống tự động chuyển trạng thái đơn hàng sang "Đã xác nhận".</w:t>
              <w:br w:type="textWrapping"/>
              <w:t xml:space="preserve">- REQ-23 [Priority: High]: Sau khi đơn hàng chuyển sang trạng thái "Đã xác nhận", mọi thông tin trong báo giá sẽ bị khóa. Điều phối viên không được chỉnh sửa báo giá trực tiếp trừ khi có yêu cầu mở lại điều chỉnh hợp đồng từ khách hàng và được duyệt bởi Quản lý.</w:t>
              <w:br w:type="textWrapping"/>
              <w:t xml:space="preserve">- REQ-25 [Priority: Low]: Hệ thống cho phép người dùng xuất báo giá ra định dạng file PDF.</w:t>
              <w:br w:type="textWrapping"/>
              <w:br w:type="textWrapping"/>
              <w:t xml:space="preserve">[3.5 Database Requirements]</w:t>
              <w:br w:type="textWrapping"/>
              <w:t xml:space="preserve">- Sơ đồ ERD và mô hình dữ liệu lưu trữ các thực thể: Yêu cầu đặt tour - Báo giá - Hợp đồng.</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