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Times New Roman" w:hAnsi="Times New Roman" w:eastAsia="Times New Roman"/>
          <w:b/>
          <w:i w:val="0"/>
          <w:color w:val="1E5B3A"/>
          <w:sz w:val="32"/>
        </w:rPr>
        <w:t>Reporte de avance — Hackathon 2026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Equipo: </w:t>
      </w:r>
      <w:r>
        <w:rPr>
          <w:rFonts w:ascii="Times New Roman" w:hAnsi="Times New Roman" w:eastAsia="Times New Roman"/>
          <w:b w:val="0"/>
          <w:i w:val="0"/>
          <w:sz w:val="20"/>
        </w:rPr>
        <w:t>Syntax</w:t>
      </w:r>
      <w:r>
        <w:rPr>
          <w:rFonts w:ascii="Times New Roman" w:hAnsi="Times New Roman" w:eastAsia="Times New Roman"/>
          <w:b/>
          <w:i w:val="0"/>
          <w:sz w:val="20"/>
        </w:rPr>
        <w:t xml:space="preserve">    Integrantes: </w:t>
      </w:r>
      <w:r>
        <w:rPr>
          <w:rFonts w:ascii="Times New Roman" w:hAnsi="Times New Roman" w:eastAsia="Times New Roman"/>
          <w:b w:val="0"/>
          <w:i w:val="0"/>
          <w:sz w:val="20"/>
        </w:rPr>
        <w:t>Sofía Morato, Joel David Niño y Santiago Muñoz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/>
          <w:i w:val="0"/>
          <w:sz w:val="18"/>
        </w:rPr>
        <w:t xml:space="preserve">Fecha de la medición: </w:t>
      </w:r>
      <w:r>
        <w:rPr>
          <w:rFonts w:ascii="Times New Roman" w:hAnsi="Times New Roman" w:eastAsia="Times New Roman"/>
          <w:b w:val="0"/>
          <w:i w:val="0"/>
          <w:sz w:val="18"/>
        </w:rPr>
        <w:t>2026-10-02</w:t>
      </w:r>
      <w:r>
        <w:rPr>
          <w:rFonts w:ascii="Times New Roman" w:hAnsi="Times New Roman" w:eastAsia="Times New Roman"/>
          <w:b w:val="0"/>
          <w:i w:val="0"/>
          <w:sz w:val="18"/>
        </w:rPr>
        <w:t xml:space="preserve">    Corrida: e16_area200 (commit 26932e7)</w:t>
      </w:r>
    </w:p>
    <w:p>
      <w:pPr>
        <w:spacing w:before="140" w:after="40" w:line="240" w:lineRule="auto"/>
        <w:pBdr>
          <w:bottom w:val="single" w:sz="6" w:space="1" w:color="1E5B3A"/>
        </w:pBdr>
      </w:pPr>
      <w:r>
        <w:rPr>
          <w:rFonts w:ascii="Times New Roman" w:hAnsi="Times New Roman" w:eastAsia="Times New Roman"/>
          <w:b/>
          <w:i w:val="0"/>
          <w:color w:val="1E5B3A"/>
          <w:sz w:val="22"/>
        </w:rPr>
        <w:t>1. Puntaje sobre las preguntas de muestra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DBBA6"/>
          <w:bottom w:val="single" w:sz="4" w:space="0" w:color="9DBBA6"/>
          <w:insideH w:val="single" w:sz="4" w:space="0" w:color="9DBBA6"/>
        </w:tblBorders>
      </w:tblPr>
      <w:tblGrid>
        <w:gridCol w:w="3326"/>
        <w:gridCol w:w="3326"/>
        <w:gridCol w:w="3326"/>
      </w:tblGrid>
      <w:tr>
        <w:tc>
          <w:tcPr>
            <w:tcW w:type="dxa" w:w="4535"/>
            <w:shd w:val="clear" w:color="auto" w:fill="E4F0E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Componente</w:t>
            </w:r>
          </w:p>
        </w:tc>
        <w:tc>
          <w:tcPr>
            <w:tcW w:type="dxa" w:w="2551"/>
            <w:shd w:val="clear" w:color="auto" w:fill="E4F0E7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Puntos obtenidos</w:t>
            </w:r>
          </w:p>
        </w:tc>
        <w:tc>
          <w:tcPr>
            <w:tcW w:type="dxa" w:w="2551"/>
            <w:shd w:val="clear" w:color="auto" w:fill="E4F0E7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Puntos posibles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Exactitud en cerradas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14,67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Calidad de citación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17,55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Abstención calibrada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8,37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10</w:t>
            </w:r>
          </w:p>
        </w:tc>
      </w:tr>
      <w:tr>
        <w:tc>
          <w:tcPr>
            <w:tcW w:type="dxa" w:w="4535"/>
            <w:shd w:val="clear" w:color="auto" w:fill="E4F0E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Total automático sin RAGAS</w:t>
            </w:r>
          </w:p>
        </w:tc>
        <w:tc>
          <w:tcPr>
            <w:tcW w:type="dxa" w:w="2551"/>
            <w:shd w:val="clear" w:color="auto" w:fill="E4F0E7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40,59</w:t>
            </w:r>
          </w:p>
        </w:tc>
        <w:tc>
          <w:tcPr>
            <w:tcW w:type="dxa" w:w="2551"/>
            <w:shd w:val="clear" w:color="auto" w:fill="E4F0E7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50</w:t>
            </w:r>
          </w:p>
        </w:tc>
      </w:tr>
    </w:tbl>
    <w:p>
      <w:pPr>
        <w:spacing w:before="60" w:after="0" w:line="240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Observaciones. 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Preguntas cerradas: 11 de 15 correctas (la referencia es 0,905). Citación: ninguna de las 176 citas emitidas carece de respaldo en los textos recuperados. </w:t>
      </w:r>
      <w:r>
        <w:rPr>
          <w:rFonts w:ascii="Times New Roman" w:hAnsi="Times New Roman" w:eastAsia="Times New Roman"/>
          <w:b w:val="0"/>
          <w:i w:val="0"/>
          <w:sz w:val="20"/>
        </w:rPr>
        <w:t>Abstención: 0 abstenciones; 36 de 43 preguntas respondidas bien.</w:t>
      </w:r>
    </w:p>
    <w:p>
      <w:pPr>
        <w:spacing w:before="140" w:after="40" w:line="240" w:lineRule="auto"/>
        <w:pBdr>
          <w:bottom w:val="single" w:sz="6" w:space="1" w:color="1E5B3A"/>
        </w:pBdr>
      </w:pPr>
      <w:r>
        <w:rPr>
          <w:rFonts w:ascii="Times New Roman" w:hAnsi="Times New Roman" w:eastAsia="Times New Roman"/>
          <w:b/>
          <w:i w:val="0"/>
          <w:color w:val="1E5B3A"/>
          <w:sz w:val="22"/>
        </w:rPr>
        <w:t>2. Estado del corpus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DBBA6"/>
          <w:bottom w:val="single" w:sz="4" w:space="0" w:color="9DBBA6"/>
          <w:insideH w:val="single" w:sz="4" w:space="0" w:color="9DBBA6"/>
        </w:tblBorders>
      </w:tblPr>
      <w:tblGrid>
        <w:gridCol w:w="4989"/>
        <w:gridCol w:w="4989"/>
      </w:tblGrid>
      <w:tr>
        <w:tc>
          <w:tcPr>
            <w:tcW w:type="dxa" w:w="4535"/>
            <w:shd w:val="clear" w:color="auto" w:fill="E4F0E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Métrica</w:t>
            </w:r>
          </w:p>
        </w:tc>
        <w:tc>
          <w:tcPr>
            <w:tcW w:type="dxa" w:w="5102"/>
            <w:shd w:val="clear" w:color="auto" w:fill="E4F0E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Documentos incorporados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588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Fragmentos indexados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113.519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Áreas del banco con cobertura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10 de 10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Áreas del banco sin cobertura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ninguna</w:t>
            </w:r>
          </w:p>
        </w:tc>
      </w:tr>
    </w:tbl>
    <w:p>
      <w:pPr>
        <w:spacing w:before="60" w:after="0" w:line="240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Fuentes consultadas. </w:t>
      </w:r>
      <w:r>
        <w:rPr>
          <w:rFonts w:ascii="Times New Roman" w:hAnsi="Times New Roman" w:eastAsia="Times New Roman"/>
          <w:b w:val="0"/>
          <w:i w:val="0"/>
          <w:sz w:val="20"/>
        </w:rPr>
        <w:t>Relatoría de la Corte Constitucional (377); normogramas (CRA, Colpensiones, DIAN; compilación Avance Jurídico) (83); Secretaría del Senado (67); Gestor Normativo de Función Pública (30); Relatoría de la Corte Suprema de Justicia (18); otras (Régimen Legal de Bogotá, ICBF, RedJurista) (8); normograma de la DIAN (3); Comunidad Andina (2).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Documentos por área </w:t>
      </w:r>
      <w:r>
        <w:rPr>
          <w:rFonts w:ascii="Times New Roman" w:hAnsi="Times New Roman" w:eastAsia="Times New Roman"/>
          <w:b w:val="0"/>
          <w:i w:val="0"/>
          <w:sz w:val="20"/>
        </w:rPr>
        <w:t>(un documento puede pertenecer a varias): constitucional 340, laboral 56, de familia 49, penal 45, administrativo 40, comercial y sociedades 36, civil 35, tributario 31, procesal 28, mercados 25.</w:t>
      </w:r>
    </w:p>
    <w:p>
      <w:pPr>
        <w:spacing w:before="140" w:after="40" w:line="240" w:lineRule="auto"/>
        <w:pBdr>
          <w:bottom w:val="single" w:sz="6" w:space="1" w:color="1E5B3A"/>
        </w:pBdr>
      </w:pPr>
      <w:r>
        <w:rPr>
          <w:rFonts w:ascii="Times New Roman" w:hAnsi="Times New Roman" w:eastAsia="Times New Roman"/>
          <w:b/>
          <w:i w:val="0"/>
          <w:color w:val="1E5B3A"/>
          <w:sz w:val="22"/>
        </w:rPr>
        <w:t>3. Arquitectura actual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DBBA6"/>
          <w:bottom w:val="single" w:sz="4" w:space="0" w:color="9DBBA6"/>
          <w:insideH w:val="single" w:sz="4" w:space="0" w:color="9DBBA6"/>
        </w:tblBorders>
      </w:tblPr>
      <w:tblGrid>
        <w:gridCol w:w="4989"/>
        <w:gridCol w:w="4989"/>
      </w:tblGrid>
      <w:tr>
        <w:tc>
          <w:tcPr>
            <w:tcW w:type="dxa" w:w="2608"/>
            <w:shd w:val="clear" w:color="auto" w:fill="E4F0E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Componente</w:t>
            </w:r>
          </w:p>
        </w:tc>
        <w:tc>
          <w:tcPr>
            <w:tcW w:type="dxa" w:w="7030"/>
            <w:shd w:val="clear" w:color="auto" w:fill="E4F0E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Elección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Encoder (convierte textos en vectores para comparar significado)</w:t>
            </w:r>
          </w:p>
        </w:tc>
        <w:tc>
          <w:tcPr>
            <w:tcW w:type="dxa" w:w="7030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BAAI/bge-m3, modelo multilingüe de código abierto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Decoder (redacta la respuesta)</w:t>
            </w:r>
          </w:p>
        </w:tc>
        <w:tc>
          <w:tcPr>
            <w:tcW w:type="dxa" w:w="7030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Qwen3-8B (8.000 millones de parámetros), ejecutado localmente; da siempre la misma respuesta ante la misma pregunta y su salida sigue un formato fijo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Estrategia de recuperación</w:t>
            </w:r>
          </w:p>
        </w:tc>
        <w:tc>
          <w:tcPr>
            <w:tcW w:type="dxa" w:w="7030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Combina dos búsquedas: por palabras exactas (útil para números de artículo y siglas) y por significado, y fusiona sus resultados; si la pregunta nombra una norma y un artículo, ese artículo se añade como candidato; se da prioridad a los documentos del área de la pregunta. Se recuperan 10 textos como evidencia y 5 se entregan al decoder; toda cita debe provenir de esos 10 textos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Segmentación del corpus</w:t>
            </w:r>
          </w:p>
        </w:tc>
        <w:tc>
          <w:tcPr>
            <w:tcW w:type="dxa" w:w="7030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Cada artículo de una norma es un fragmento (si es muy largo se divide por párrafos); las sentencias se dividen en tramos de unas 350 palabras, sin mezclar secciones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Mecanismo de abstención</w:t>
            </w:r>
          </w:p>
        </w:tc>
        <w:tc>
          <w:tcPr>
            <w:tcW w:type="dxa" w:w="7030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Por ahora solo se abstiene cuando no hay respaldo: si no se encuentran textos, si la respuesta del modelo no es válida o si, al quitar las citas que no se pueden comprobar, la respuesta queda vacía. Una regla que decida según la confianza en lo encontrado está en evaluación.</w:t>
            </w:r>
          </w:p>
        </w:tc>
      </w:tr>
    </w:tbl>
    <w:p>
      <w:pPr>
        <w:spacing w:before="140" w:after="40" w:line="240" w:lineRule="auto"/>
        <w:pBdr>
          <w:bottom w:val="single" w:sz="6" w:space="1" w:color="1E5B3A"/>
        </w:pBdr>
      </w:pPr>
      <w:r>
        <w:rPr>
          <w:rFonts w:ascii="Times New Roman" w:hAnsi="Times New Roman" w:eastAsia="Times New Roman"/>
          <w:b/>
          <w:i w:val="0"/>
          <w:color w:val="1E5B3A"/>
          <w:sz w:val="22"/>
        </w:rPr>
        <w:t>4. Riesgos y limitaciones identificados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1. Tiempo para las 992 preguntas. </w:t>
      </w:r>
      <w:r>
        <w:rPr>
          <w:rFonts w:ascii="Times New Roman" w:hAnsi="Times New Roman" w:eastAsia="Times New Roman"/>
          <w:b w:val="0"/>
          <w:i w:val="0"/>
          <w:sz w:val="20"/>
        </w:rPr>
        <w:t>Deben responderse en unas 6 horas. En la tarjeta gráfica RTX 4090 tardó 11,8 s por pregunta mientras se compartía con otras pruebas, y 4,3 s sin carga; el objetivo es menos de 10 s y falta medirlo en una máquina dedicada. Se fijará una sola máquina y una sola configuración para la corrida final y la verificación en vivo.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2. Búsqueda del artículo exacto y preguntas cerradas. </w:t>
      </w:r>
      <w:r>
        <w:rPr>
          <w:rFonts w:ascii="Times New Roman" w:hAnsi="Times New Roman" w:eastAsia="Times New Roman"/>
          <w:b w:val="0"/>
          <w:i w:val="0"/>
          <w:sz w:val="20"/>
        </w:rPr>
        <w:t>En la muestra, el sistema acierta 11 de 15 de las preguntas cerradas, por debajo de la referencia (0,905), y no siempre encuentra el artículo preciso. La búsqueda da prioridad al área indicada en cada pregunta; si las 992 preguntas no la traen, el puntaje será algo menor. Se probarán mejoras de una en una.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3. Abstención sin calibrar. </w:t>
      </w:r>
      <w:r>
        <w:rPr>
          <w:rFonts w:ascii="Times New Roman" w:hAnsi="Times New Roman" w:eastAsia="Times New Roman"/>
          <w:b w:val="0"/>
          <w:i w:val="0"/>
          <w:sz w:val="20"/>
        </w:rPr>
        <w:t>El sistema casi nunca se abstiene: 7 respuestas incorrectas habrían valido más de haberse abstenido. Se probará una regla sencilla, sin ajustarla en exceso a solo 50 preguntas.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4. Corpus desbalanceado. </w:t>
      </w:r>
      <w:r>
        <w:rPr>
          <w:rFonts w:ascii="Times New Roman" w:hAnsi="Times New Roman" w:eastAsia="Times New Roman"/>
          <w:b w:val="0"/>
          <w:i w:val="0"/>
          <w:sz w:val="20"/>
        </w:rPr>
        <w:t>La mayoría de los documentos son sentencias de la Corte Constitucional, y el derecho de los mercados tiene pocos. Esto puede restar cobertura en las áreas menos representadas; además, las áreas asignadas a 30 documentos adicionales aún no están confirmadas.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5. Entrega final. </w:t>
      </w:r>
      <w:r>
        <w:rPr>
          <w:rFonts w:ascii="Times New Roman" w:hAnsi="Times New Roman" w:eastAsia="Times New Roman"/>
          <w:b w:val="0"/>
          <w:i w:val="0"/>
          <w:sz w:val="20"/>
        </w:rPr>
        <w:t>Faltan empaquetar el corpus, comprobar que el enlace público abre sin sesión iniciada, probar la reproducción desde cero y construir la interfaz.</w:t>
      </w:r>
    </w:p>
    <w:sectPr w:rsidR="00FC693F" w:rsidRPr="0006063C" w:rsidSect="00034616">
      <w:pgSz w:w="11906" w:h="16838"/>
      <w:pgMar w:top="794" w:right="964" w:bottom="79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