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Calibri"/>
          <w:b/>
          <w:i w:val="0"/>
          <w:color w:val="1F3A5F"/>
          <w:sz w:val="32"/>
        </w:rPr>
        <w:t>Reporte de avance — Hackathon 2026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Equipo: </w:t>
      </w:r>
      <w:r>
        <w:rPr>
          <w:rFonts w:ascii="Calibri" w:hAnsi="Calibri" w:eastAsia="Calibri"/>
          <w:b w:val="0"/>
          <w:i w:val="0"/>
          <w:sz w:val="20"/>
        </w:rPr>
        <w:t>Syntax</w:t>
      </w:r>
      <w:r>
        <w:rPr>
          <w:rFonts w:ascii="Calibri" w:hAnsi="Calibri" w:eastAsia="Calibri"/>
          <w:b/>
          <w:i w:val="0"/>
          <w:sz w:val="20"/>
        </w:rPr>
        <w:t xml:space="preserve">    Integrantes: </w:t>
      </w:r>
      <w:r>
        <w:rPr>
          <w:rFonts w:ascii="Calibri" w:hAnsi="Calibri" w:eastAsia="Calibri"/>
          <w:b w:val="0"/>
          <w:i w:val="0"/>
          <w:sz w:val="20"/>
        </w:rPr>
        <w:t>Sofía Morato, Joel David Niño y Santiago Muñoz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Fecha de la medición: </w:t>
      </w:r>
      <w:r>
        <w:rPr>
          <w:rFonts w:ascii="Calibri" w:hAnsi="Calibri" w:eastAsia="Calibri"/>
          <w:b w:val="0"/>
          <w:i w:val="0"/>
          <w:sz w:val="18"/>
        </w:rPr>
        <w:t>2026-10-02</w:t>
      </w:r>
      <w:r>
        <w:rPr>
          <w:rFonts w:ascii="Calibri" w:hAnsi="Calibri" w:eastAsia="Calibri"/>
          <w:b w:val="0"/>
          <w:i w:val="0"/>
          <w:sz w:val="18"/>
        </w:rPr>
        <w:t xml:space="preserve">    Corrida: e08b_top10 (commit 64e15aa)</w:t>
      </w:r>
    </w:p>
    <w:p>
      <w:pPr>
        <w:spacing w:before="140" w:after="40" w:line="240" w:lineRule="auto"/>
        <w:pBdr>
          <w:bottom w:val="single" w:sz="6" w:space="1" w:color="1F3A5F"/>
        </w:pBdr>
      </w:pPr>
      <w:r>
        <w:rPr>
          <w:rFonts w:ascii="Calibri" w:hAnsi="Calibri" w:eastAsia="Calibri"/>
          <w:b/>
          <w:i w:val="0"/>
          <w:color w:val="1F3A5F"/>
          <w:sz w:val="22"/>
        </w:rPr>
        <w:t>1. Puntaje sobre las preguntas de muestra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i/>
          <w:sz w:val="17"/>
        </w:rPr>
        <w:t>Resultado de python scripts/evaluate.py --submission &lt;archivo&gt; --split sample.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bottom w:val="single" w:sz="4" w:space="0" w:color="B8C0CC"/>
          <w:insideH w:val="single" w:sz="4" w:space="0" w:color="B8C0CC"/>
        </w:tblBorders>
      </w:tblPr>
      <w:tblGrid>
        <w:gridCol w:w="3326"/>
        <w:gridCol w:w="3326"/>
        <w:gridCol w:w="3326"/>
      </w:tblGrid>
      <w:tr>
        <w:tc>
          <w:tcPr>
            <w:tcW w:type="dxa" w:w="4535"/>
            <w:shd w:val="clear" w:color="auto" w:fill="EEF1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19"/>
              </w:rPr>
              <w:t>Componente</w:t>
            </w:r>
          </w:p>
        </w:tc>
        <w:tc>
          <w:tcPr>
            <w:tcW w:type="dxa" w:w="2551"/>
            <w:shd w:val="clear" w:color="auto" w:fill="EEF1F5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1F3A5F"/>
                <w:sz w:val="19"/>
              </w:rPr>
              <w:t>Puntos obtenidos</w:t>
            </w:r>
          </w:p>
        </w:tc>
        <w:tc>
          <w:tcPr>
            <w:tcW w:type="dxa" w:w="2551"/>
            <w:shd w:val="clear" w:color="auto" w:fill="EEF1F5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/>
                <w:i w:val="0"/>
                <w:color w:val="1F3A5F"/>
                <w:sz w:val="19"/>
              </w:rPr>
              <w:t>Puntos posibles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Exactitud en cerradas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14,67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Calidad de citación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16,33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Abstención calibrada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8,37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4535"/>
            <w:shd w:val="clear" w:color="auto" w:fill="EEF1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Total automático sin RAGAS</w:t>
            </w:r>
          </w:p>
        </w:tc>
        <w:tc>
          <w:tcPr>
            <w:tcW w:type="dxa" w:w="2551"/>
            <w:shd w:val="clear" w:color="auto" w:fill="EEF1F5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39,37</w:t>
            </w:r>
          </w:p>
        </w:tc>
        <w:tc>
          <w:tcPr>
            <w:tcW w:type="dxa" w:w="2551"/>
            <w:shd w:val="clear" w:color="auto" w:fill="EEF1F5"/>
          </w:tcPr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50</w:t>
            </w:r>
          </w:p>
        </w:tc>
      </w:tr>
    </w:tbl>
    <w:p>
      <w:pPr>
        <w:spacing w:before="60" w:after="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Observaciones. </w:t>
      </w:r>
      <w:r>
        <w:rPr>
          <w:rFonts w:ascii="Calibri" w:hAnsi="Calibri" w:eastAsia="Calibri"/>
          <w:b w:val="0"/>
          <w:i w:val="0"/>
          <w:sz w:val="20"/>
        </w:rPr>
        <w:t>Cerradas 11/15 (0,733; referencia del baseline 0,905). Citación: recall ponderado 0,816 y 0 citas sin respaldo en 188 emitidas. Abstención: 0 abstenciones; 36 de 43 respondidas bien. Con 50 preguntas, una diferencia de 1–2 aciertos no es significativa.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/>
          <w:sz w:val="17"/>
        </w:rPr>
        <w:t>Referencia adicional con juez RAGAS: correctness 0,466 (13,97/30).</w:t>
      </w:r>
    </w:p>
    <w:p>
      <w:pPr>
        <w:spacing w:before="140" w:after="40" w:line="240" w:lineRule="auto"/>
        <w:pBdr>
          <w:bottom w:val="single" w:sz="6" w:space="1" w:color="1F3A5F"/>
        </w:pBdr>
      </w:pPr>
      <w:r>
        <w:rPr>
          <w:rFonts w:ascii="Calibri" w:hAnsi="Calibri" w:eastAsia="Calibri"/>
          <w:b/>
          <w:i w:val="0"/>
          <w:color w:val="1F3A5F"/>
          <w:sz w:val="22"/>
        </w:rPr>
        <w:t>2. Estado del corpus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bottom w:val="single" w:sz="4" w:space="0" w:color="B8C0CC"/>
          <w:insideH w:val="single" w:sz="4" w:space="0" w:color="B8C0CC"/>
        </w:tblBorders>
      </w:tblPr>
      <w:tblGrid>
        <w:gridCol w:w="4989"/>
        <w:gridCol w:w="4989"/>
      </w:tblGrid>
      <w:tr>
        <w:tc>
          <w:tcPr>
            <w:tcW w:type="dxa" w:w="4535"/>
            <w:shd w:val="clear" w:color="auto" w:fill="EEF1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19"/>
              </w:rPr>
              <w:t>Métrica</w:t>
            </w:r>
          </w:p>
        </w:tc>
        <w:tc>
          <w:tcPr>
            <w:tcW w:type="dxa" w:w="5102"/>
            <w:shd w:val="clear" w:color="auto" w:fill="EEF1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Documentos incorporados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588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Fragmentos indexados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113.519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Áreas del banco con cobertura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10 de 10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Áreas del banco sin cobertura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ninguna</w:t>
            </w:r>
          </w:p>
        </w:tc>
      </w:tr>
    </w:tbl>
    <w:p>
      <w:pPr>
        <w:spacing w:before="60" w:after="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Fuentes consultadas. </w:t>
      </w:r>
      <w:r>
        <w:rPr>
          <w:rFonts w:ascii="Calibri" w:hAnsi="Calibri" w:eastAsia="Calibri"/>
          <w:b w:val="0"/>
          <w:i w:val="0"/>
          <w:sz w:val="20"/>
        </w:rPr>
        <w:t>Relatoría de la Corte Constitucional (377); normogramas (CRA, Colpensiones, DIAN; compilación Avance Jurídico) (83); Secretaría del Senado (67); Gestor Normativo de Función Pública (30); Relatoría de la Corte Suprema de Justicia (18); otras (Régimen Legal de Bogotá, ICBF, RedJurista) (8); normograma de la DIAN (3); Comunidad Andina (2).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Documentos por área </w:t>
      </w:r>
      <w:r>
        <w:rPr>
          <w:rFonts w:ascii="Calibri" w:hAnsi="Calibri" w:eastAsia="Calibri"/>
          <w:b w:val="0"/>
          <w:i w:val="0"/>
          <w:sz w:val="20"/>
        </w:rPr>
        <w:t>(un documento puede tener varias): constitucional 340, laboral 56, de familia 49, penal 45, administrativo 40, comercial y sociedades 36, civil 35, tributario 31, procesal 28, mercados 25. El corpus tiene desbalance hacia constitucional (sentencias de la Corte); las áreas de 30 documentos adicionales son provisionales.</w:t>
      </w:r>
    </w:p>
    <w:p>
      <w:pPr>
        <w:spacing w:before="140" w:after="40" w:line="240" w:lineRule="auto"/>
        <w:pBdr>
          <w:bottom w:val="single" w:sz="6" w:space="1" w:color="1F3A5F"/>
        </w:pBdr>
      </w:pPr>
      <w:r>
        <w:rPr>
          <w:rFonts w:ascii="Calibri" w:hAnsi="Calibri" w:eastAsia="Calibri"/>
          <w:b/>
          <w:i w:val="0"/>
          <w:color w:val="1F3A5F"/>
          <w:sz w:val="22"/>
        </w:rPr>
        <w:t>3. Arquitectura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bottom w:val="single" w:sz="4" w:space="0" w:color="B8C0CC"/>
          <w:insideH w:val="single" w:sz="4" w:space="0" w:color="B8C0CC"/>
        </w:tblBorders>
      </w:tblPr>
      <w:tblGrid>
        <w:gridCol w:w="4989"/>
        <w:gridCol w:w="4989"/>
      </w:tblGrid>
      <w:tr>
        <w:tc>
          <w:tcPr>
            <w:tcW w:type="dxa" w:w="2608"/>
            <w:shd w:val="clear" w:color="auto" w:fill="EEF1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19"/>
              </w:rPr>
              <w:t>Componente</w:t>
            </w:r>
          </w:p>
        </w:tc>
        <w:tc>
          <w:tcPr>
            <w:tcW w:type="dxa" w:w="7030"/>
            <w:shd w:val="clear" w:color="auto" w:fill="EEF1F5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19"/>
              </w:rPr>
              <w:t>Elección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Encoder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BAAI/bge-m3 (fp32, FAISS IndexFlatIP, vectores normalizados)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Decoder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Qwen3-8B, cuantización Q8_0 con llama.cpp; temperature=0, seed=0, salida restringida por JSON Schema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Estrategia de recuperación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Híbrida: BM25 (bm25s) + denso, fusión RRF (k=60); top-10 como evidencia, 5 pasajes al decoder; citas validadas contra el top-10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Segmentación del corpus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seg-v1: un artículo = un fragmento (≤350 palabras, partido por párrafos); sentencias en ventanas de ~350 palabras por sección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Mecanismo de abstención</w:t>
            </w:r>
          </w:p>
        </w:tc>
        <w:tc>
          <w:tcPr>
            <w:tcW w:type="dxa" w:w="7030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Validación de citas contra el top-10; si quedan campos vacíos tras regenerar, se abstiene. Regla por señales (score, margen, acuerdo BM25/denso) en evaluación.</w:t>
            </w:r>
          </w:p>
        </w:tc>
      </w:tr>
    </w:tbl>
    <w:p>
      <w:pPr>
        <w:spacing w:before="140" w:after="40" w:line="240" w:lineRule="auto"/>
        <w:pBdr>
          <w:bottom w:val="single" w:sz="6" w:space="1" w:color="1F3A5F"/>
        </w:pBdr>
      </w:pPr>
      <w:r>
        <w:rPr>
          <w:rFonts w:ascii="Calibri" w:hAnsi="Calibri" w:eastAsia="Calibri"/>
          <w:b/>
          <w:i w:val="0"/>
          <w:color w:val="1F3A5F"/>
          <w:sz w:val="22"/>
        </w:rPr>
        <w:t>4. Riesgos identificados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1. Tiempo de las 992 preguntas (≈6 h). </w:t>
      </w:r>
      <w:r>
        <w:rPr>
          <w:rFonts w:ascii="Calibri" w:hAnsi="Calibri" w:eastAsia="Calibri"/>
          <w:b w:val="0"/>
          <w:i w:val="0"/>
          <w:sz w:val="20"/>
        </w:rPr>
        <w:t>4,2 s/pregunta en la RTX 4090 cumple el objetivo (&lt;10 s), pero un Mac M1 tarda ~145 s: se congela una sola máquina y configuración para la corrida final y la verificación en vivo.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2. Recuperación a nivel de artículo y exactitud en cerradas. </w:t>
      </w:r>
      <w:r>
        <w:rPr>
          <w:rFonts w:ascii="Calibri" w:hAnsi="Calibri" w:eastAsia="Calibri"/>
          <w:b w:val="0"/>
          <w:i w:val="0"/>
          <w:sz w:val="20"/>
        </w:rPr>
        <w:t>En muestra, art_hit@10 ≈ 0,4–0,5 y cerradas 0,733 frente a la referencia 0,905. Se prueban reranker, búsqueda por referencia explícita y generation_k, un cambio por experimento.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3. Abstención sin calibrar. </w:t>
      </w:r>
      <w:r>
        <w:rPr>
          <w:rFonts w:ascii="Calibri" w:hAnsi="Calibri" w:eastAsia="Calibri"/>
          <w:b w:val="0"/>
          <w:i w:val="0"/>
          <w:sz w:val="20"/>
        </w:rPr>
        <w:t>7 respuestas incorrectas que valdrían 0,5 si se abstuviera; se evalúa una regla simple por formato, sin sobreajustar a 50 preguntas.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0"/>
        </w:rPr>
        <w:t xml:space="preserve">4. Entrega del corpus y reproducibilidad. </w:t>
      </w:r>
      <w:r>
        <w:rPr>
          <w:rFonts w:ascii="Calibri" w:hAnsi="Calibri" w:eastAsia="Calibri"/>
          <w:b w:val="0"/>
          <w:i w:val="0"/>
          <w:sz w:val="20"/>
        </w:rPr>
        <w:t>Falta el empaquetado, el enlace público verificado en ventana privada y la prueba en contenedor limpio (reproducir.py); la interfaz sigue pendiente.</w:t>
      </w:r>
    </w:p>
    <w:sectPr w:rsidR="00FC693F" w:rsidRPr="0006063C" w:rsidSect="00034616">
      <w:pgSz w:w="11906" w:h="16838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