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2" w:lineRule="auto"/>
      </w:pPr>
      <w:r>
        <w:rPr>
          <w:rFonts w:ascii="Times New Roman" w:hAnsi="Times New Roman" w:eastAsia="Times New Roman"/>
          <w:b/>
          <w:i w:val="0"/>
          <w:color w:val="1E5B3A"/>
          <w:sz w:val="32"/>
        </w:rPr>
        <w:t>Reporte de avance — Hackathon 2026</w:t>
      </w:r>
    </w:p>
    <w:p>
      <w:pPr>
        <w:spacing w:before="0" w:after="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Equipo: </w:t>
      </w:r>
      <w:r>
        <w:rPr>
          <w:rFonts w:ascii="Times New Roman" w:hAnsi="Times New Roman" w:eastAsia="Times New Roman"/>
          <w:b w:val="0"/>
          <w:i w:val="0"/>
          <w:sz w:val="20"/>
        </w:rPr>
        <w:t>Syntax</w:t>
      </w:r>
      <w:r>
        <w:rPr>
          <w:rFonts w:ascii="Times New Roman" w:hAnsi="Times New Roman" w:eastAsia="Times New Roman"/>
          <w:b/>
          <w:i w:val="0"/>
          <w:sz w:val="20"/>
        </w:rPr>
        <w:t xml:space="preserve">    Integrantes: </w:t>
      </w:r>
      <w:r>
        <w:rPr>
          <w:rFonts w:ascii="Times New Roman" w:hAnsi="Times New Roman" w:eastAsia="Times New Roman"/>
          <w:b w:val="0"/>
          <w:i w:val="0"/>
          <w:sz w:val="20"/>
        </w:rPr>
        <w:t>Sofía Morato, Joel David Niño y Santiago Muñoz</w:t>
      </w:r>
    </w:p>
    <w:p>
      <w:pPr>
        <w:spacing w:before="0" w:after="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Fecha de la medición: </w:t>
      </w:r>
      <w:r>
        <w:rPr>
          <w:rFonts w:ascii="Times New Roman" w:hAnsi="Times New Roman" w:eastAsia="Times New Roman"/>
          <w:b w:val="0"/>
          <w:i w:val="0"/>
          <w:sz w:val="20"/>
        </w:rPr>
        <w:t>2026-10-02</w:t>
      </w:r>
    </w:p>
    <w:p>
      <w:pPr>
        <w:spacing w:before="140" w:after="40" w:line="252" w:lineRule="auto"/>
        <w:pBdr>
          <w:bottom w:val="single" w:sz="6" w:space="1" w:color="1E5B3A"/>
        </w:pBdr>
      </w:pPr>
      <w:r>
        <w:rPr>
          <w:rFonts w:ascii="Times New Roman" w:hAnsi="Times New Roman" w:eastAsia="Times New Roman"/>
          <w:b/>
          <w:i w:val="0"/>
          <w:color w:val="1E5B3A"/>
          <w:sz w:val="22"/>
        </w:rPr>
        <w:t>1. Puntaje sobre las preguntas de muestra</w:t>
      </w:r>
    </w:p>
    <w:p>
      <w:pPr>
        <w:spacing w:before="0" w:after="40" w:line="252" w:lineRule="auto"/>
      </w:pPr>
      <w:r>
        <w:rPr>
          <w:rFonts w:ascii="Times New Roman" w:hAnsi="Times New Roman" w:eastAsia="Times New Roman"/>
          <w:b w:val="0"/>
          <w:i/>
          <w:sz w:val="17"/>
        </w:rPr>
        <w:t>Resultado de python scripts/evaluate.py --submission salidas/sample_e20_avance_v4.jsonl --split sample --ragas.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DBBA6"/>
          <w:bottom w:val="single" w:sz="4" w:space="0" w:color="9DBBA6"/>
          <w:insideH w:val="single" w:sz="4" w:space="0" w:color="9DBBA6"/>
        </w:tblBorders>
      </w:tblPr>
      <w:tblGrid>
        <w:gridCol w:w="3326"/>
        <w:gridCol w:w="3326"/>
        <w:gridCol w:w="3326"/>
      </w:tblGrid>
      <w:tr>
        <w:tc>
          <w:tcPr>
            <w:tcW w:type="dxa" w:w="4535"/>
            <w:shd w:val="clear" w:color="auto" w:fill="E4F0E7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/>
                <w:i w:val="0"/>
                <w:color w:val="1E5B3A"/>
                <w:sz w:val="19"/>
              </w:rPr>
              <w:t>Componente</w:t>
            </w:r>
          </w:p>
        </w:tc>
        <w:tc>
          <w:tcPr>
            <w:tcW w:type="dxa" w:w="2551"/>
            <w:shd w:val="clear" w:color="auto" w:fill="E4F0E7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1E5B3A"/>
                <w:sz w:val="19"/>
              </w:rPr>
              <w:t>Puntos obtenidos</w:t>
            </w:r>
          </w:p>
        </w:tc>
        <w:tc>
          <w:tcPr>
            <w:tcW w:type="dxa" w:w="2551"/>
            <w:shd w:val="clear" w:color="auto" w:fill="E4F0E7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color w:val="1E5B3A"/>
                <w:sz w:val="19"/>
              </w:rPr>
              <w:t>Puntos posibles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Exactitud en cerradas</w:t>
            </w:r>
          </w:p>
        </w:tc>
        <w:tc>
          <w:tcPr>
            <w:tcW w:type="dxa" w:w="2551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14,67</w:t>
            </w:r>
          </w:p>
        </w:tc>
        <w:tc>
          <w:tcPr>
            <w:tcW w:type="dxa" w:w="2551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20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Corrección de texto libre (juez RAGAS)</w:t>
            </w:r>
          </w:p>
        </w:tc>
        <w:tc>
          <w:tcPr>
            <w:tcW w:type="dxa" w:w="2551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12,58</w:t>
            </w:r>
          </w:p>
        </w:tc>
        <w:tc>
          <w:tcPr>
            <w:tcW w:type="dxa" w:w="2551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30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Calidad de citación</w:t>
            </w:r>
          </w:p>
        </w:tc>
        <w:tc>
          <w:tcPr>
            <w:tcW w:type="dxa" w:w="2551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17,55</w:t>
            </w:r>
          </w:p>
        </w:tc>
        <w:tc>
          <w:tcPr>
            <w:tcW w:type="dxa" w:w="2551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20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Abstención calibrada</w:t>
            </w:r>
          </w:p>
        </w:tc>
        <w:tc>
          <w:tcPr>
            <w:tcW w:type="dxa" w:w="2551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8,37</w:t>
            </w:r>
          </w:p>
        </w:tc>
        <w:tc>
          <w:tcPr>
            <w:tcW w:type="dxa" w:w="2551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10</w:t>
            </w:r>
          </w:p>
        </w:tc>
      </w:tr>
      <w:tr>
        <w:tc>
          <w:tcPr>
            <w:tcW w:type="dxa" w:w="4535"/>
            <w:shd w:val="clear" w:color="auto" w:fill="E4F0E7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Total automático</w:t>
            </w:r>
          </w:p>
        </w:tc>
        <w:tc>
          <w:tcPr>
            <w:tcW w:type="dxa" w:w="2551"/>
            <w:shd w:val="clear" w:color="auto" w:fill="E4F0E7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53,17</w:t>
            </w:r>
          </w:p>
        </w:tc>
        <w:tc>
          <w:tcPr>
            <w:tcW w:type="dxa" w:w="2551"/>
            <w:shd w:val="clear" w:color="auto" w:fill="E4F0E7"/>
          </w:tcPr>
          <w:p>
            <w:pPr>
              <w:spacing w:before="20" w:after="20" w:line="252" w:lineRule="auto"/>
              <w:jc w:val="right"/>
            </w:pPr>
            <w:r>
              <w:rPr>
                <w:rFonts w:ascii="Times New Roman" w:hAnsi="Times New Roman" w:eastAsia="Times New Roman"/>
                <w:b/>
                <w:i w:val="0"/>
                <w:sz w:val="19"/>
              </w:rPr>
              <w:t>80</w:t>
            </w:r>
          </w:p>
        </w:tc>
      </w:tr>
    </w:tbl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Observaciones. 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Preguntas cerradas: 11 de 15 correctas (la referencia es 0,905). Citación: ninguna de las 178 citas emitidas carece de respaldo en los textos recuperados. </w:t>
      </w:r>
      <w:r>
        <w:rPr>
          <w:rFonts w:ascii="Times New Roman" w:hAnsi="Times New Roman" w:eastAsia="Times New Roman"/>
          <w:b w:val="0"/>
          <w:i w:val="0"/>
          <w:sz w:val="20"/>
        </w:rPr>
        <w:t>Abstención: 0 abstenciones; 36 de 43 preguntas respondidas bien.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Texto libre: corrección 0,419 (referencia 0,451); 4 de 35 respuestas quedaron sin veredicto del juez y cuentan como cero (0,474 en las 31 juzgadas). Sin el juez: 40,59 de 50.</w:t>
      </w:r>
    </w:p>
    <w:p>
      <w:pPr>
        <w:spacing w:before="140" w:after="40" w:line="252" w:lineRule="auto"/>
        <w:pBdr>
          <w:bottom w:val="single" w:sz="6" w:space="1" w:color="1E5B3A"/>
        </w:pBdr>
      </w:pPr>
      <w:r>
        <w:rPr>
          <w:rFonts w:ascii="Times New Roman" w:hAnsi="Times New Roman" w:eastAsia="Times New Roman"/>
          <w:b/>
          <w:i w:val="0"/>
          <w:color w:val="1E5B3A"/>
          <w:sz w:val="22"/>
        </w:rPr>
        <w:t>2. Estado del corpus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DBBA6"/>
          <w:bottom w:val="single" w:sz="4" w:space="0" w:color="9DBBA6"/>
          <w:insideH w:val="single" w:sz="4" w:space="0" w:color="9DBBA6"/>
        </w:tblBorders>
      </w:tblPr>
      <w:tblGrid>
        <w:gridCol w:w="4989"/>
        <w:gridCol w:w="4989"/>
      </w:tblGrid>
      <w:tr>
        <w:tc>
          <w:tcPr>
            <w:tcW w:type="dxa" w:w="4535"/>
            <w:shd w:val="clear" w:color="auto" w:fill="E4F0E7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/>
                <w:i w:val="0"/>
                <w:color w:val="1E5B3A"/>
                <w:sz w:val="19"/>
              </w:rPr>
              <w:t>Métrica</w:t>
            </w:r>
          </w:p>
        </w:tc>
        <w:tc>
          <w:tcPr>
            <w:tcW w:type="dxa" w:w="5102"/>
            <w:shd w:val="clear" w:color="auto" w:fill="E4F0E7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/>
                <w:i w:val="0"/>
                <w:color w:val="1E5B3A"/>
                <w:sz w:val="19"/>
              </w:rPr>
              <w:t>Valor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Documentos incorporados</w:t>
            </w:r>
          </w:p>
        </w:tc>
        <w:tc>
          <w:tcPr>
            <w:tcW w:type="dxa" w:w="5102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1.186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Fragmentos indexados</w:t>
            </w:r>
          </w:p>
        </w:tc>
        <w:tc>
          <w:tcPr>
            <w:tcW w:type="dxa" w:w="5102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173.393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Áreas del banco con cobertura</w:t>
            </w:r>
          </w:p>
        </w:tc>
        <w:tc>
          <w:tcPr>
            <w:tcW w:type="dxa" w:w="5102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10 de 10</w:t>
            </w:r>
          </w:p>
        </w:tc>
      </w:tr>
      <w:tr>
        <w:tc>
          <w:tcPr>
            <w:tcW w:type="dxa" w:w="4535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Áreas del banco sin cobertura</w:t>
            </w:r>
          </w:p>
        </w:tc>
        <w:tc>
          <w:tcPr>
            <w:tcW w:type="dxa" w:w="5102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ninguna</w:t>
            </w:r>
          </w:p>
        </w:tc>
      </w:tr>
    </w:tbl>
    <w:p>
      <w:pPr>
        <w:spacing w:before="60" w:after="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Fuentes consultadas. </w:t>
      </w:r>
      <w:r>
        <w:rPr>
          <w:rFonts w:ascii="Times New Roman" w:hAnsi="Times New Roman" w:eastAsia="Times New Roman"/>
          <w:b w:val="0"/>
          <w:i w:val="0"/>
          <w:sz w:val="20"/>
        </w:rPr>
        <w:t>Relatoría de la Corte Constitucional (938); normogramas (CRA, Colpensiones, DIAN; compilación Avance Jurídico) (112); Secretaría del Senado (72); Gestor Normativo de Función Pública (30); Relatoría de la Corte Suprema de Justicia (18); otras (Régimen Legal de Bogotá, ICBF, RedJurista) (8); Comunidad Andina (5); normograma de la DIAN (3).</w:t>
      </w:r>
    </w:p>
    <w:p>
      <w:pPr>
        <w:spacing w:before="0" w:after="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Documentos por área </w:t>
      </w:r>
      <w:r>
        <w:rPr>
          <w:rFonts w:ascii="Times New Roman" w:hAnsi="Times New Roman" w:eastAsia="Times New Roman"/>
          <w:b w:val="0"/>
          <w:i w:val="0"/>
          <w:sz w:val="20"/>
        </w:rPr>
        <w:t>(un documento puede pertenecer a varias): constitucional 901, laboral 62, de familia 54, administrativo 52, penal 51, civil 45, tributario 41, mercados 39, procesal 38, comercial y sociedades 36.</w:t>
      </w:r>
    </w:p>
    <w:p>
      <w:pPr>
        <w:spacing w:before="140" w:after="40" w:line="252" w:lineRule="auto"/>
        <w:pBdr>
          <w:bottom w:val="single" w:sz="6" w:space="1" w:color="1E5B3A"/>
        </w:pBdr>
      </w:pPr>
      <w:r>
        <w:rPr>
          <w:rFonts w:ascii="Times New Roman" w:hAnsi="Times New Roman" w:eastAsia="Times New Roman"/>
          <w:b/>
          <w:i w:val="0"/>
          <w:color w:val="1E5B3A"/>
          <w:sz w:val="22"/>
        </w:rPr>
        <w:t>3. Arquitectura actual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9DBBA6"/>
          <w:bottom w:val="single" w:sz="4" w:space="0" w:color="9DBBA6"/>
          <w:insideH w:val="single" w:sz="4" w:space="0" w:color="9DBBA6"/>
        </w:tblBorders>
      </w:tblPr>
      <w:tblGrid>
        <w:gridCol w:w="4989"/>
        <w:gridCol w:w="4989"/>
      </w:tblGrid>
      <w:tr>
        <w:tc>
          <w:tcPr>
            <w:tcW w:type="dxa" w:w="2608"/>
            <w:shd w:val="clear" w:color="auto" w:fill="E4F0E7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/>
                <w:i w:val="0"/>
                <w:color w:val="1E5B3A"/>
                <w:sz w:val="19"/>
              </w:rPr>
              <w:t>Componente</w:t>
            </w:r>
          </w:p>
        </w:tc>
        <w:tc>
          <w:tcPr>
            <w:tcW w:type="dxa" w:w="7030"/>
            <w:shd w:val="clear" w:color="auto" w:fill="E4F0E7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/>
                <w:i w:val="0"/>
                <w:color w:val="1E5B3A"/>
                <w:sz w:val="19"/>
              </w:rPr>
              <w:t>Elección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Encoder (convierte textos en vectores para comparar significado)</w:t>
            </w:r>
          </w:p>
        </w:tc>
        <w:tc>
          <w:tcPr>
            <w:tcW w:type="dxa" w:w="7030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BAAI/bge-m3, modelo multilingüe de código abierto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Decoder (redacta la respuesta)</w:t>
            </w:r>
          </w:p>
        </w:tc>
        <w:tc>
          <w:tcPr>
            <w:tcW w:type="dxa" w:w="7030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Qwen3-8B (8.000 millones de parámetros), ejecutado localmente; da siempre la misma respuesta ante la misma pregunta y su salida sigue un formato fijo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Estrategia de recuperación</w:t>
            </w:r>
          </w:p>
        </w:tc>
        <w:tc>
          <w:tcPr>
            <w:tcW w:type="dxa" w:w="7030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Combina dos búsquedas: por palabras exactas (útil para números de artículo y siglas) y por significado, y fusiona sus resultados; si la pregunta nombra una norma y un artículo, ese artículo se añade como candidato; se da prioridad a los documentos del área de la pregunta. Se recuperan 10 textos como evidencia y 5 se entregan al decoder; toda cita debe provenir de esos 10 textos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Segmentación del corpus</w:t>
            </w:r>
          </w:p>
        </w:tc>
        <w:tc>
          <w:tcPr>
            <w:tcW w:type="dxa" w:w="7030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Cada artículo de una norma es un fragmento (si es muy largo se divide por párrafos); las sentencias se dividen en tramos de unas 350 palabras, sin mezclar secciones</w:t>
            </w:r>
          </w:p>
        </w:tc>
      </w:tr>
      <w:tr>
        <w:tc>
          <w:tcPr>
            <w:tcW w:type="dxa" w:w="2608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Mecanismo de abstención</w:t>
            </w:r>
          </w:p>
        </w:tc>
        <w:tc>
          <w:tcPr>
            <w:tcW w:type="dxa" w:w="7030"/>
          </w:tcPr>
          <w:p>
            <w:pPr>
              <w:spacing w:before="20" w:after="20" w:line="252" w:lineRule="auto"/>
            </w:pPr>
            <w:r>
              <w:rPr>
                <w:rFonts w:ascii="Times New Roman" w:hAnsi="Times New Roman" w:eastAsia="Times New Roman"/>
                <w:b w:val="0"/>
                <w:i w:val="0"/>
                <w:sz w:val="19"/>
              </w:rPr>
              <w:t>Por ahora solo se abstiene cuando no hay respaldo: si no se encuentran textos, si la respuesta del modelo no es válida o si, al quitar las citas que no se pueden comprobar, la respuesta queda vacía. Una regla que decida según la confianza en lo encontrado está en evaluación.</w:t>
            </w:r>
          </w:p>
        </w:tc>
      </w:tr>
    </w:tbl>
    <w:p>
      <w:pPr>
        <w:spacing w:before="140" w:after="40" w:line="252" w:lineRule="auto"/>
        <w:pBdr>
          <w:bottom w:val="single" w:sz="6" w:space="1" w:color="1E5B3A"/>
        </w:pBdr>
      </w:pPr>
      <w:r>
        <w:rPr>
          <w:rFonts w:ascii="Times New Roman" w:hAnsi="Times New Roman" w:eastAsia="Times New Roman"/>
          <w:b/>
          <w:i w:val="0"/>
          <w:color w:val="1E5B3A"/>
          <w:sz w:val="22"/>
        </w:rPr>
        <w:t>4. Riesgos y limitaciones identificados</w:t>
      </w:r>
    </w:p>
    <w:p>
      <w:pPr>
        <w:spacing w:before="0" w:after="2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1. Tiempo para las 992 preguntas. </w:t>
      </w:r>
      <w:r>
        <w:rPr>
          <w:rFonts w:ascii="Times New Roman" w:hAnsi="Times New Roman" w:eastAsia="Times New Roman"/>
          <w:b w:val="0"/>
          <w:i w:val="0"/>
          <w:sz w:val="20"/>
        </w:rPr>
        <w:t>Deben responderse en unas 6 horas. En la RTX 4090 tarda 4,2 s por pregunta, dentro del objetivo (menos de 10 s). La corrida final y la verificación en vivo usarán una sola máquina y configuración.</w:t>
      </w:r>
    </w:p>
    <w:p>
      <w:pPr>
        <w:spacing w:before="0" w:after="2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2. Búsqueda del artículo exacto y preguntas cerradas. </w:t>
      </w:r>
      <w:r>
        <w:rPr>
          <w:rFonts w:ascii="Times New Roman" w:hAnsi="Times New Roman" w:eastAsia="Times New Roman"/>
          <w:b w:val="0"/>
          <w:i w:val="0"/>
          <w:sz w:val="20"/>
        </w:rPr>
        <w:t>En la muestra, el sistema acierta 11 de 15 de las preguntas cerradas, por debajo de la referencia (0,905), y no siempre encuentra el artículo preciso. La búsqueda da prioridad al área indicada en cada pregunta; si las 992 preguntas no la traen, el puntaje será algo menor. Se probarán mejoras de una en una.</w:t>
      </w:r>
    </w:p>
    <w:p>
      <w:pPr>
        <w:spacing w:before="0" w:after="2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3. Abstención sin calibrar. </w:t>
      </w:r>
      <w:r>
        <w:rPr>
          <w:rFonts w:ascii="Times New Roman" w:hAnsi="Times New Roman" w:eastAsia="Times New Roman"/>
          <w:b w:val="0"/>
          <w:i w:val="0"/>
          <w:sz w:val="20"/>
        </w:rPr>
        <w:t>El sistema casi nunca se abstiene: 7 respuestas incorrectas habrían valido más de haberse abstenido. Se probará una regla sencilla, sin ajustarla en exceso a solo 50 preguntas.</w:t>
      </w:r>
    </w:p>
    <w:p>
      <w:pPr>
        <w:spacing w:before="0" w:after="2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4. Corpus desbalanceado. </w:t>
      </w:r>
      <w:r>
        <w:rPr>
          <w:rFonts w:ascii="Times New Roman" w:hAnsi="Times New Roman" w:eastAsia="Times New Roman"/>
          <w:b w:val="0"/>
          <w:i w:val="0"/>
          <w:sz w:val="20"/>
        </w:rPr>
        <w:t>La mayoría de los documentos son sentencias de la Corte Constitucional, casi todas usadas solo si la pregunta las nombra. Comercial, procesal y mercados tienen menos documentos; faltan confirmar áreas.</w:t>
      </w:r>
    </w:p>
    <w:p>
      <w:pPr>
        <w:spacing w:before="0" w:after="20" w:line="252" w:lineRule="auto"/>
      </w:pPr>
      <w:r>
        <w:rPr>
          <w:rFonts w:ascii="Times New Roman" w:hAnsi="Times New Roman" w:eastAsia="Times New Roman"/>
          <w:b/>
          <w:i w:val="0"/>
          <w:sz w:val="20"/>
        </w:rPr>
        <w:t xml:space="preserve">5. Entrega final. </w:t>
      </w:r>
      <w:r>
        <w:rPr>
          <w:rFonts w:ascii="Times New Roman" w:hAnsi="Times New Roman" w:eastAsia="Times New Roman"/>
          <w:b w:val="0"/>
          <w:i w:val="0"/>
          <w:sz w:val="20"/>
        </w:rPr>
        <w:t>Código, corpus e índice de esta medición quedaron congelados. Falta publicar el corpus y la interfaz.</w:t>
      </w:r>
    </w:p>
    <w:sectPr w:rsidR="00FC693F" w:rsidRPr="0006063C" w:rsidSect="00034616">
      <w:pgSz w:w="11906" w:h="16838"/>
      <w:pgMar w:top="567" w:right="964" w:bottom="567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