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B92FB">
      <w:pPr>
        <w:pStyle w:val="8"/>
        <w:jc w:val="center"/>
        <w:rPr>
          <w:rFonts w:ascii="Times" w:hAnsi="Times"/>
        </w:rPr>
        <w:sectPr>
          <w:headerReference r:id="rId5" w:type="first"/>
          <w:headerReference r:id="rId3" w:type="default"/>
          <w:headerReference r:id="rId4" w:type="even"/>
          <w:footerReference r:id="rId6" w:type="even"/>
          <w:pgSz w:w="11906" w:h="16838"/>
          <w:pgMar w:top="1985" w:right="1701" w:bottom="1985" w:left="1701" w:header="851" w:footer="992" w:gutter="0"/>
          <w:pgNumType w:start="1"/>
          <w:cols w:space="720" w:num="1"/>
          <w:docGrid w:type="lines" w:linePitch="312" w:charSpace="0"/>
        </w:sectPr>
      </w:pPr>
      <w:r>
        <w:rPr>
          <w:rFonts w:ascii="Times" w:hAnsi="Times"/>
        </w:rPr>
        <mc:AlternateContent>
          <mc:Choice Requires="wps">
            <w:drawing>
              <wp:anchor distT="0" distB="0" distL="114300" distR="114300" simplePos="0" relativeHeight="251659264" behindDoc="1" locked="0" layoutInCell="1" allowOverlap="1">
                <wp:simplePos x="0" y="0"/>
                <wp:positionH relativeFrom="column">
                  <wp:posOffset>14605</wp:posOffset>
                </wp:positionH>
                <wp:positionV relativeFrom="paragraph">
                  <wp:posOffset>37465</wp:posOffset>
                </wp:positionV>
                <wp:extent cx="5386070" cy="8107045"/>
                <wp:effectExtent l="0" t="0" r="24765" b="20955"/>
                <wp:wrapNone/>
                <wp:docPr id="2" name="矩形 5"/>
                <wp:cNvGraphicFramePr/>
                <a:graphic xmlns:a="http://schemas.openxmlformats.org/drawingml/2006/main">
                  <a:graphicData uri="http://schemas.microsoft.com/office/word/2010/wordprocessingShape">
                    <wps:wsp>
                      <wps:cNvSpPr>
                        <a:spLocks noChangeArrowheads="1"/>
                      </wps:cNvSpPr>
                      <wps:spPr bwMode="auto">
                        <a:xfrm>
                          <a:off x="0" y="0"/>
                          <a:ext cx="5385788" cy="8107200"/>
                        </a:xfrm>
                        <a:prstGeom prst="rect">
                          <a:avLst/>
                        </a:prstGeom>
                        <a:noFill/>
                        <a:ln w="31750">
                          <a:solidFill>
                            <a:srgbClr val="3471B0"/>
                          </a:solidFill>
                          <a:miter lim="800000"/>
                        </a:ln>
                      </wps:spPr>
                      <wps:txbx>
                        <w:txbxContent>
                          <w:p w14:paraId="49632414">
                            <w:pPr>
                              <w:pStyle w:val="8"/>
                              <w:jc w:val="center"/>
                              <w:rPr>
                                <w:rFonts w:ascii="Times" w:hAnsi="Times" w:eastAsia="黑体"/>
                                <w:b/>
                                <w:sz w:val="56"/>
                                <w:szCs w:val="72"/>
                              </w:rPr>
                            </w:pPr>
                            <w:r>
                              <w:rPr>
                                <w:rFonts w:ascii="Times" w:hAnsi="Times"/>
                              </w:rPr>
                              <w:drawing>
                                <wp:inline distT="0" distB="0" distL="0" distR="0">
                                  <wp:extent cx="1816100" cy="1371600"/>
                                  <wp:effectExtent l="0" t="0" r="1270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7B6BDD84">
                            <w:pPr>
                              <w:pStyle w:val="8"/>
                              <w:jc w:val="center"/>
                              <w:rPr>
                                <w:rFonts w:ascii="Times" w:hAnsi="Times" w:eastAsia="黑体"/>
                                <w:b/>
                                <w:sz w:val="56"/>
                                <w:szCs w:val="72"/>
                              </w:rPr>
                            </w:pPr>
                            <w:r>
                              <w:rPr>
                                <w:rFonts w:ascii="Times" w:hAnsi="Times" w:eastAsia="黑体"/>
                                <w:b/>
                                <w:sz w:val="56"/>
                                <w:szCs w:val="72"/>
                              </w:rPr>
                              <w:t>信息与软件工程学院</w:t>
                            </w:r>
                          </w:p>
                          <w:p w14:paraId="741E1161">
                            <w:pPr>
                              <w:pStyle w:val="8"/>
                              <w:jc w:val="center"/>
                              <w:rPr>
                                <w:rFonts w:ascii="Times" w:hAnsi="Times" w:eastAsia="黑体"/>
                                <w:b/>
                                <w:sz w:val="56"/>
                                <w:szCs w:val="72"/>
                              </w:rPr>
                            </w:pPr>
                            <w:r>
                              <w:rPr>
                                <w:rFonts w:ascii="Times" w:hAnsi="Times" w:eastAsia="黑体"/>
                                <w:b/>
                                <w:sz w:val="56"/>
                                <w:szCs w:val="72"/>
                              </w:rPr>
                              <w:t>综合</w:t>
                            </w:r>
                            <w:r>
                              <w:rPr>
                                <w:rFonts w:hint="eastAsia" w:ascii="Times" w:hAnsi="Times" w:eastAsia="黑体"/>
                                <w:b/>
                                <w:sz w:val="56"/>
                                <w:szCs w:val="72"/>
                              </w:rPr>
                              <w:t>项目I中期</w:t>
                            </w:r>
                            <w:r>
                              <w:rPr>
                                <w:rFonts w:ascii="Times" w:hAnsi="Times" w:eastAsia="黑体"/>
                                <w:b/>
                                <w:sz w:val="56"/>
                                <w:szCs w:val="72"/>
                              </w:rPr>
                              <w:t>报告</w:t>
                            </w:r>
                          </w:p>
                          <w:p w14:paraId="408D9CF7">
                            <w:pPr>
                              <w:pStyle w:val="8"/>
                              <w:spacing w:line="800" w:lineRule="exact"/>
                              <w:ind w:firstLine="470" w:firstLineChars="147"/>
                              <w:rPr>
                                <w:rFonts w:hint="default" w:ascii="Times" w:hAnsi="Times" w:eastAsia="宋体"/>
                                <w:sz w:val="32"/>
                                <w:u w:val="single"/>
                                <w:lang w:val="en-US" w:eastAsia="zh-CN"/>
                              </w:rPr>
                            </w:pPr>
                            <w:r>
                              <w:rPr>
                                <w:rFonts w:ascii="Times" w:hAnsi="Times"/>
                                <w:sz w:val="32"/>
                              </w:rPr>
                              <w:t>课程名称：</w:t>
                            </w:r>
                            <w:r>
                              <w:rPr>
                                <w:rFonts w:ascii="Times" w:hAnsi="Times"/>
                                <w:sz w:val="32"/>
                                <w:u w:val="single"/>
                              </w:rPr>
                              <w:tab/>
                            </w:r>
                            <w:r>
                              <w:rPr>
                                <w:rFonts w:hint="eastAsia" w:ascii="Times" w:hAnsi="Times"/>
                                <w:sz w:val="32"/>
                                <w:u w:val="single"/>
                                <w:lang w:val="en-US" w:eastAsia="zh-CN"/>
                              </w:rPr>
                              <w:t xml:space="preserve">  进阶式挑战性综合课程设计I</w:t>
                            </w:r>
                            <w:r>
                              <w:rPr>
                                <w:rFonts w:hint="eastAsia" w:ascii="Times" w:hAnsi="Times"/>
                                <w:sz w:val="24"/>
                                <w:szCs w:val="24"/>
                                <w:u w:val="single"/>
                                <w:lang w:val="en-US" w:eastAsia="zh-CN"/>
                              </w:rPr>
                              <w:t xml:space="preserve">  </w:t>
                            </w:r>
                          </w:p>
                          <w:p w14:paraId="13CB8AC5">
                            <w:pPr>
                              <w:pStyle w:val="8"/>
                              <w:spacing w:line="800" w:lineRule="exact"/>
                              <w:ind w:firstLine="470" w:firstLineChars="147"/>
                              <w:rPr>
                                <w:rFonts w:ascii="Times" w:hAnsi="Times"/>
                                <w:sz w:val="32"/>
                                <w:u w:val="single"/>
                              </w:rPr>
                            </w:pPr>
                            <w:r>
                              <w:rPr>
                                <w:rFonts w:ascii="Times" w:hAnsi="Times"/>
                                <w:sz w:val="32"/>
                              </w:rPr>
                              <w:t>课题名称：</w:t>
                            </w:r>
                            <w:r>
                              <w:rPr>
                                <w:rFonts w:ascii="Times" w:hAnsi="Times"/>
                                <w:sz w:val="32"/>
                                <w:u w:val="single"/>
                              </w:rPr>
                              <w:tab/>
                            </w:r>
                            <w:r>
                              <w:rPr>
                                <w:rFonts w:hint="eastAsia" w:ascii="Times" w:hAnsi="Times"/>
                                <w:sz w:val="32"/>
                                <w:u w:val="single"/>
                                <w:lang w:val="en-US" w:eastAsia="zh-CN"/>
                              </w:rPr>
                              <w:t xml:space="preserve"> </w:t>
                            </w:r>
                            <w:r>
                              <w:rPr>
                                <w:rFonts w:hint="eastAsia" w:ascii="Times" w:hAnsi="Times"/>
                                <w:sz w:val="24"/>
                                <w:szCs w:val="24"/>
                                <w:u w:val="single"/>
                              </w:rPr>
                              <w:t>多数据源融合的互联网个人贷款风控系统</w:t>
                            </w:r>
                            <w:r>
                              <w:rPr>
                                <w:rFonts w:ascii="Times" w:hAnsi="Times"/>
                                <w:sz w:val="32"/>
                                <w:u w:val="single"/>
                              </w:rPr>
                              <w:tab/>
                            </w:r>
                          </w:p>
                          <w:p w14:paraId="029775A5">
                            <w:pPr>
                              <w:pStyle w:val="8"/>
                              <w:spacing w:line="800" w:lineRule="exact"/>
                              <w:ind w:firstLine="470" w:firstLineChars="147"/>
                              <w:rPr>
                                <w:rFonts w:ascii="Times" w:hAnsi="Times"/>
                                <w:sz w:val="32"/>
                                <w:u w:val="single"/>
                              </w:rPr>
                            </w:pPr>
                            <w:r>
                              <w:rPr>
                                <w:rFonts w:ascii="Times" w:hAnsi="Times"/>
                                <w:sz w:val="32"/>
                              </w:rPr>
                              <w:t>指导教师：</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lang w:val="en-US" w:eastAsia="zh-CN"/>
                              </w:rPr>
                              <w:t xml:space="preserve"> </w:t>
                            </w:r>
                            <w:r>
                              <w:rPr>
                                <w:rFonts w:hint="eastAsia" w:ascii="华文仿宋" w:hAnsi="华文仿宋" w:eastAsia="华文仿宋"/>
                                <w:sz w:val="32"/>
                                <w:szCs w:val="32"/>
                              </w:rPr>
                              <w:t>傅翀</w:t>
                            </w:r>
                            <w:r>
                              <w:rPr>
                                <w:rFonts w:ascii="Times" w:hAnsi="Times"/>
                                <w:sz w:val="32"/>
                                <w:u w:val="single"/>
                              </w:rPr>
                              <w:t xml:space="preserve">  </w:t>
                            </w:r>
                            <w:r>
                              <w:rPr>
                                <w:rFonts w:hint="eastAsia" w:ascii="Times" w:hAnsi="Times"/>
                                <w:sz w:val="32"/>
                                <w:u w:val="single"/>
                                <w:lang w:val="en-US" w:eastAsia="zh-CN"/>
                              </w:rPr>
                              <w:t xml:space="preserve">  </w:t>
                            </w:r>
                            <w:r>
                              <w:rPr>
                                <w:rFonts w:ascii="Times" w:hAnsi="Times"/>
                                <w:sz w:val="32"/>
                                <w:u w:val="single"/>
                              </w:rPr>
                              <w:t xml:space="preserve">        </w:t>
                            </w:r>
                            <w:r>
                              <w:rPr>
                                <w:rFonts w:ascii="Times" w:hAnsi="Times"/>
                                <w:sz w:val="32"/>
                                <w:u w:val="single"/>
                              </w:rPr>
                              <w:tab/>
                            </w:r>
                          </w:p>
                          <w:p w14:paraId="0788F8C3">
                            <w:pPr>
                              <w:pStyle w:val="8"/>
                              <w:spacing w:line="800" w:lineRule="exact"/>
                              <w:ind w:firstLine="470" w:firstLineChars="147"/>
                              <w:rPr>
                                <w:rFonts w:ascii="Times" w:hAnsi="Times"/>
                                <w:sz w:val="32"/>
                                <w:u w:val="single"/>
                              </w:rPr>
                            </w:pPr>
                            <w:r>
                              <w:rPr>
                                <w:rFonts w:ascii="Times" w:hAnsi="Times"/>
                                <w:sz w:val="32"/>
                              </w:rPr>
                              <w:t>所在系别：</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hint="eastAsia" w:ascii="华文仿宋" w:hAnsi="华文仿宋" w:eastAsia="华文仿宋"/>
                                <w:sz w:val="32"/>
                                <w:szCs w:val="32"/>
                              </w:rPr>
                              <w:t>互联网+金融</w:t>
                            </w:r>
                            <w:r>
                              <w:rPr>
                                <w:rFonts w:ascii="Times" w:hAnsi="Times"/>
                                <w:sz w:val="32"/>
                                <w:u w:val="single"/>
                              </w:rPr>
                              <w:t xml:space="preserve">  </w:t>
                            </w:r>
                            <w:r>
                              <w:rPr>
                                <w:rFonts w:hint="eastAsia" w:ascii="Times" w:hAnsi="Times"/>
                                <w:sz w:val="32"/>
                                <w:u w:val="single"/>
                                <w:lang w:val="en-US" w:eastAsia="zh-CN"/>
                              </w:rPr>
                              <w:t xml:space="preserve"> </w:t>
                            </w:r>
                            <w:r>
                              <w:rPr>
                                <w:rFonts w:ascii="Times" w:hAnsi="Times"/>
                                <w:sz w:val="32"/>
                                <w:u w:val="single"/>
                              </w:rPr>
                              <w:t xml:space="preserve">  </w:t>
                            </w:r>
                            <w:r>
                              <w:rPr>
                                <w:rFonts w:ascii="Times" w:hAnsi="Times"/>
                                <w:sz w:val="32"/>
                                <w:u w:val="single"/>
                              </w:rPr>
                              <w:tab/>
                            </w:r>
                            <w:r>
                              <w:rPr>
                                <w:rFonts w:ascii="Times" w:hAnsi="Times"/>
                                <w:sz w:val="32"/>
                                <w:u w:val="single"/>
                              </w:rPr>
                              <w:tab/>
                            </w:r>
                          </w:p>
                          <w:p w14:paraId="2CBBFEB3">
                            <w:pPr>
                              <w:pStyle w:val="8"/>
                              <w:spacing w:line="800" w:lineRule="exact"/>
                              <w:ind w:firstLine="470" w:firstLineChars="147"/>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lang w:val="en-US" w:eastAsia="zh-CN"/>
                              </w:rPr>
                              <w:t xml:space="preserve">   大二上学期</w:t>
                            </w:r>
                            <w:r>
                              <w:rPr>
                                <w:rFonts w:ascii="Times" w:hAnsi="Times"/>
                                <w:sz w:val="32"/>
                                <w:u w:val="single"/>
                              </w:rPr>
                              <w:t xml:space="preserve">       </w:t>
                            </w:r>
                            <w:r>
                              <w:rPr>
                                <w:rFonts w:ascii="Times" w:hAnsi="Times"/>
                                <w:sz w:val="32"/>
                                <w:u w:val="single"/>
                              </w:rPr>
                              <w:tab/>
                            </w:r>
                            <w:r>
                              <w:rPr>
                                <w:rFonts w:ascii="Times" w:hAnsi="Times"/>
                                <w:sz w:val="32"/>
                                <w:u w:val="single"/>
                              </w:rPr>
                              <w:tab/>
                            </w:r>
                          </w:p>
                          <w:p w14:paraId="4326E9CA">
                            <w:pPr>
                              <w:pStyle w:val="8"/>
                              <w:spacing w:line="800" w:lineRule="exact"/>
                              <w:ind w:firstLine="470" w:firstLineChars="147"/>
                              <w:rPr>
                                <w:rFonts w:ascii="Times" w:hAnsi="Times"/>
                                <w:sz w:val="32"/>
                              </w:rPr>
                            </w:pPr>
                            <w:r>
                              <w:rPr>
                                <w:rFonts w:ascii="Times" w:hAnsi="Times"/>
                                <w:sz w:val="32"/>
                              </w:rPr>
                              <w:t>学生信息：</w:t>
                            </w:r>
                          </w:p>
                          <w:tbl>
                            <w:tblPr>
                              <w:tblStyle w:val="23"/>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2835"/>
                            </w:tblGrid>
                            <w:tr w14:paraId="5004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550" w:type="dxa"/>
                                  <w:tcBorders>
                                    <w:top w:val="single" w:color="auto" w:sz="4" w:space="0"/>
                                    <w:left w:val="single" w:color="auto" w:sz="4" w:space="0"/>
                                    <w:bottom w:val="single" w:color="auto" w:sz="4" w:space="0"/>
                                    <w:right w:val="single" w:color="auto" w:sz="4" w:space="0"/>
                                  </w:tcBorders>
                                  <w:vAlign w:val="center"/>
                                </w:tcPr>
                                <w:p w14:paraId="46E3D3FE">
                                  <w:pPr>
                                    <w:pStyle w:val="8"/>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14:paraId="2D48A51F">
                                  <w:pPr>
                                    <w:pStyle w:val="8"/>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14:paraId="56F354AD">
                                  <w:pPr>
                                    <w:pStyle w:val="8"/>
                                    <w:jc w:val="center"/>
                                    <w:rPr>
                                      <w:rFonts w:ascii="Times" w:hAnsi="Times"/>
                                      <w:color w:val="000000"/>
                                    </w:rPr>
                                  </w:pPr>
                                  <w:r>
                                    <w:rPr>
                                      <w:rFonts w:ascii="Times" w:hAnsi="Times"/>
                                      <w:color w:val="000000"/>
                                    </w:rPr>
                                    <w:t>姓名</w:t>
                                  </w:r>
                                </w:p>
                              </w:tc>
                            </w:tr>
                            <w:tr w14:paraId="6C86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550" w:type="dxa"/>
                                  <w:tcBorders>
                                    <w:top w:val="single" w:color="auto" w:sz="4" w:space="0"/>
                                    <w:left w:val="single" w:color="auto" w:sz="4" w:space="0"/>
                                    <w:bottom w:val="single" w:color="auto" w:sz="4" w:space="0"/>
                                    <w:right w:val="single" w:color="auto" w:sz="4" w:space="0"/>
                                  </w:tcBorders>
                                  <w:vAlign w:val="center"/>
                                </w:tcPr>
                                <w:p w14:paraId="51755F4E">
                                  <w:pPr>
                                    <w:pStyle w:val="8"/>
                                    <w:jc w:val="center"/>
                                    <w:rPr>
                                      <w:rFonts w:ascii="Times" w:hAnsi="Times" w:cs="宋体"/>
                                      <w:color w:val="000000"/>
                                    </w:rPr>
                                  </w:pPr>
                                  <w:r>
                                    <w:rPr>
                                      <w:rFonts w:ascii="Times" w:hAnsi="Times" w:cs="宋体"/>
                                      <w:color w:val="000000"/>
                                    </w:rPr>
                                    <w:t>1（组长）</w:t>
                                  </w:r>
                                </w:p>
                              </w:tc>
                              <w:tc>
                                <w:tcPr>
                                  <w:tcW w:w="3260" w:type="dxa"/>
                                  <w:tcBorders>
                                    <w:top w:val="single" w:color="auto" w:sz="4" w:space="0"/>
                                    <w:left w:val="single" w:color="auto" w:sz="4" w:space="0"/>
                                    <w:bottom w:val="single" w:color="auto" w:sz="4" w:space="0"/>
                                    <w:right w:val="single" w:color="auto" w:sz="4" w:space="0"/>
                                  </w:tcBorders>
                                  <w:vAlign w:val="center"/>
                                </w:tcPr>
                                <w:p w14:paraId="1ED611E6">
                                  <w:pPr>
                                    <w:pStyle w:val="8"/>
                                    <w:widowControl/>
                                    <w:spacing w:before="30" w:after="30"/>
                                    <w:jc w:val="center"/>
                                    <w:rPr>
                                      <w:rFonts w:hint="default" w:ascii="Times" w:hAnsi="Times" w:eastAsia="宋体" w:cs="宋体"/>
                                      <w:color w:val="000000"/>
                                      <w:kern w:val="0"/>
                                      <w:lang w:val="en-US" w:eastAsia="zh-CN"/>
                                    </w:rPr>
                                  </w:pPr>
                                  <w:r>
                                    <w:rPr>
                                      <w:rFonts w:hint="eastAsia" w:ascii="Times" w:hAnsi="Times" w:cs="宋体"/>
                                      <w:color w:val="000000"/>
                                      <w:kern w:val="0"/>
                                      <w:lang w:val="en-US" w:eastAsia="zh-CN"/>
                                    </w:rPr>
                                    <w:t>2024091203018</w:t>
                                  </w:r>
                                </w:p>
                              </w:tc>
                              <w:tc>
                                <w:tcPr>
                                  <w:tcW w:w="2835" w:type="dxa"/>
                                  <w:tcBorders>
                                    <w:top w:val="single" w:color="auto" w:sz="4" w:space="0"/>
                                    <w:left w:val="single" w:color="auto" w:sz="4" w:space="0"/>
                                    <w:bottom w:val="single" w:color="auto" w:sz="4" w:space="0"/>
                                    <w:right w:val="single" w:color="auto" w:sz="4" w:space="0"/>
                                  </w:tcBorders>
                                  <w:vAlign w:val="center"/>
                                </w:tcPr>
                                <w:p w14:paraId="157960E0">
                                  <w:pPr>
                                    <w:pStyle w:val="8"/>
                                    <w:widowControl/>
                                    <w:spacing w:before="30" w:after="30"/>
                                    <w:jc w:val="center"/>
                                    <w:rPr>
                                      <w:rFonts w:hint="default" w:ascii="Times" w:hAnsi="Times" w:eastAsia="宋体" w:cs="宋体"/>
                                      <w:color w:val="000000"/>
                                      <w:kern w:val="0"/>
                                      <w:lang w:val="en-US" w:eastAsia="zh-CN"/>
                                    </w:rPr>
                                  </w:pPr>
                                  <w:r>
                                    <w:rPr>
                                      <w:rFonts w:hint="eastAsia" w:ascii="Times" w:hAnsi="Times" w:cs="宋体"/>
                                      <w:color w:val="000000"/>
                                      <w:kern w:val="0"/>
                                      <w:lang w:val="en-US" w:eastAsia="zh-CN"/>
                                    </w:rPr>
                                    <w:t>龚陈陈</w:t>
                                  </w:r>
                                </w:p>
                              </w:tc>
                            </w:tr>
                            <w:tr w14:paraId="0634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550" w:type="dxa"/>
                                  <w:tcBorders>
                                    <w:top w:val="single" w:color="auto" w:sz="4" w:space="0"/>
                                    <w:left w:val="single" w:color="auto" w:sz="4" w:space="0"/>
                                    <w:bottom w:val="single" w:color="auto" w:sz="4" w:space="0"/>
                                    <w:right w:val="single" w:color="auto" w:sz="4" w:space="0"/>
                                  </w:tcBorders>
                                  <w:vAlign w:val="center"/>
                                </w:tcPr>
                                <w:p w14:paraId="72856240">
                                  <w:pPr>
                                    <w:pStyle w:val="8"/>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14:paraId="02172BC3">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2024091201030</w:t>
                                  </w:r>
                                </w:p>
                              </w:tc>
                              <w:tc>
                                <w:tcPr>
                                  <w:tcW w:w="2835" w:type="dxa"/>
                                  <w:tcBorders>
                                    <w:top w:val="single" w:color="auto" w:sz="4" w:space="0"/>
                                    <w:left w:val="single" w:color="auto" w:sz="4" w:space="0"/>
                                    <w:bottom w:val="single" w:color="auto" w:sz="4" w:space="0"/>
                                    <w:right w:val="single" w:color="auto" w:sz="4" w:space="0"/>
                                  </w:tcBorders>
                                  <w:vAlign w:val="center"/>
                                </w:tcPr>
                                <w:p w14:paraId="5A0E013E">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王婷</w:t>
                                  </w:r>
                                </w:p>
                              </w:tc>
                            </w:tr>
                            <w:tr w14:paraId="0C4A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50" w:type="dxa"/>
                                  <w:tcBorders>
                                    <w:top w:val="single" w:color="auto" w:sz="4" w:space="0"/>
                                    <w:left w:val="single" w:color="auto" w:sz="4" w:space="0"/>
                                    <w:bottom w:val="single" w:color="auto" w:sz="4" w:space="0"/>
                                    <w:right w:val="single" w:color="auto" w:sz="4" w:space="0"/>
                                  </w:tcBorders>
                                  <w:vAlign w:val="center"/>
                                </w:tcPr>
                                <w:p w14:paraId="257E845A">
                                  <w:pPr>
                                    <w:pStyle w:val="8"/>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14:paraId="01A832DC">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2024091201029</w:t>
                                  </w:r>
                                </w:p>
                              </w:tc>
                              <w:tc>
                                <w:tcPr>
                                  <w:tcW w:w="2835" w:type="dxa"/>
                                  <w:tcBorders>
                                    <w:top w:val="single" w:color="auto" w:sz="4" w:space="0"/>
                                    <w:left w:val="single" w:color="auto" w:sz="4" w:space="0"/>
                                    <w:bottom w:val="single" w:color="auto" w:sz="4" w:space="0"/>
                                    <w:right w:val="single" w:color="auto" w:sz="4" w:space="0"/>
                                  </w:tcBorders>
                                  <w:vAlign w:val="center"/>
                                </w:tcPr>
                                <w:p w14:paraId="2CB3E44F">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覃雨欣</w:t>
                                  </w:r>
                                </w:p>
                              </w:tc>
                            </w:tr>
                            <w:tr w14:paraId="43A3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50" w:type="dxa"/>
                                  <w:tcBorders>
                                    <w:top w:val="single" w:color="auto" w:sz="4" w:space="0"/>
                                    <w:left w:val="single" w:color="auto" w:sz="4" w:space="0"/>
                                    <w:bottom w:val="single" w:color="auto" w:sz="4" w:space="0"/>
                                    <w:right w:val="single" w:color="auto" w:sz="4" w:space="0"/>
                                  </w:tcBorders>
                                  <w:vAlign w:val="center"/>
                                </w:tcPr>
                                <w:p w14:paraId="2169C3B5">
                                  <w:pPr>
                                    <w:pStyle w:val="8"/>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14:paraId="7185AB17">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2024091201028</w:t>
                                  </w:r>
                                </w:p>
                              </w:tc>
                              <w:tc>
                                <w:tcPr>
                                  <w:tcW w:w="2835" w:type="dxa"/>
                                  <w:tcBorders>
                                    <w:top w:val="single" w:color="auto" w:sz="4" w:space="0"/>
                                    <w:left w:val="single" w:color="auto" w:sz="4" w:space="0"/>
                                    <w:bottom w:val="single" w:color="auto" w:sz="4" w:space="0"/>
                                    <w:right w:val="single" w:color="auto" w:sz="4" w:space="0"/>
                                  </w:tcBorders>
                                  <w:vAlign w:val="center"/>
                                </w:tcPr>
                                <w:p w14:paraId="3001799F">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周飞凤</w:t>
                                  </w:r>
                                </w:p>
                              </w:tc>
                            </w:tr>
                          </w:tbl>
                          <w:p w14:paraId="10C7CC6C">
                            <w:pPr>
                              <w:pStyle w:val="8"/>
                              <w:jc w:val="center"/>
                            </w:pPr>
                          </w:p>
                        </w:txbxContent>
                      </wps:txbx>
                      <wps:bodyPr rot="0" vert="horz" wrap="square" lIns="91440" tIns="45720" rIns="91440" bIns="45720" anchor="t" anchorCtr="0" upright="1">
                        <a:noAutofit/>
                      </wps:bodyPr>
                    </wps:wsp>
                  </a:graphicData>
                </a:graphic>
              </wp:anchor>
            </w:drawing>
          </mc:Choice>
          <mc:Fallback>
            <w:pict>
              <v:rect id="矩形 5" o:spid="_x0000_s1026" o:spt="1" style="position:absolute;left:0pt;margin-left:1.15pt;margin-top:2.95pt;height:638.35pt;width:424.1pt;z-index:-251657216;mso-width-relative:page;mso-height-relative:page;" filled="f" stroked="t" coordsize="21600,21600" o:gfxdata="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vWKOdYAAAAIAQAADwAAAAAAAAABACAAAAAiAAAAZHJzL2Rvd25y&#10;ZXYueG1sUEsBAhQAFAAAAAgAh07iQBlMwT85AgAAUwQAAA4AAAAAAAAAAQAgAAAAJQEAAGRycy9l&#10;Mm9Eb2MueG1sUEsFBgAAAAAGAAYAWQEAANAFAAAAAA==&#10;">
                <v:fill on="f" focussize="0,0"/>
                <v:stroke weight="2.5pt" color="#3471B0" miterlimit="8" joinstyle="miter"/>
                <v:imagedata o:title=""/>
                <o:lock v:ext="edit" aspectratio="f"/>
                <v:textbox>
                  <w:txbxContent>
                    <w:p w14:paraId="49632414">
                      <w:pPr>
                        <w:pStyle w:val="8"/>
                        <w:jc w:val="center"/>
                        <w:rPr>
                          <w:rFonts w:ascii="Times" w:hAnsi="Times" w:eastAsia="黑体"/>
                          <w:b/>
                          <w:sz w:val="56"/>
                          <w:szCs w:val="72"/>
                        </w:rPr>
                      </w:pPr>
                      <w:r>
                        <w:rPr>
                          <w:rFonts w:ascii="Times" w:hAnsi="Times"/>
                        </w:rPr>
                        <w:drawing>
                          <wp:inline distT="0" distB="0" distL="0" distR="0">
                            <wp:extent cx="1816100" cy="1371600"/>
                            <wp:effectExtent l="0" t="0" r="1270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7B6BDD84">
                      <w:pPr>
                        <w:pStyle w:val="8"/>
                        <w:jc w:val="center"/>
                        <w:rPr>
                          <w:rFonts w:ascii="Times" w:hAnsi="Times" w:eastAsia="黑体"/>
                          <w:b/>
                          <w:sz w:val="56"/>
                          <w:szCs w:val="72"/>
                        </w:rPr>
                      </w:pPr>
                      <w:r>
                        <w:rPr>
                          <w:rFonts w:ascii="Times" w:hAnsi="Times" w:eastAsia="黑体"/>
                          <w:b/>
                          <w:sz w:val="56"/>
                          <w:szCs w:val="72"/>
                        </w:rPr>
                        <w:t>信息与软件工程学院</w:t>
                      </w:r>
                    </w:p>
                    <w:p w14:paraId="741E1161">
                      <w:pPr>
                        <w:pStyle w:val="8"/>
                        <w:jc w:val="center"/>
                        <w:rPr>
                          <w:rFonts w:ascii="Times" w:hAnsi="Times" w:eastAsia="黑体"/>
                          <w:b/>
                          <w:sz w:val="56"/>
                          <w:szCs w:val="72"/>
                        </w:rPr>
                      </w:pPr>
                      <w:r>
                        <w:rPr>
                          <w:rFonts w:ascii="Times" w:hAnsi="Times" w:eastAsia="黑体"/>
                          <w:b/>
                          <w:sz w:val="56"/>
                          <w:szCs w:val="72"/>
                        </w:rPr>
                        <w:t>综合</w:t>
                      </w:r>
                      <w:r>
                        <w:rPr>
                          <w:rFonts w:hint="eastAsia" w:ascii="Times" w:hAnsi="Times" w:eastAsia="黑体"/>
                          <w:b/>
                          <w:sz w:val="56"/>
                          <w:szCs w:val="72"/>
                        </w:rPr>
                        <w:t>项目I中期</w:t>
                      </w:r>
                      <w:r>
                        <w:rPr>
                          <w:rFonts w:ascii="Times" w:hAnsi="Times" w:eastAsia="黑体"/>
                          <w:b/>
                          <w:sz w:val="56"/>
                          <w:szCs w:val="72"/>
                        </w:rPr>
                        <w:t>报告</w:t>
                      </w:r>
                    </w:p>
                    <w:p w14:paraId="408D9CF7">
                      <w:pPr>
                        <w:pStyle w:val="8"/>
                        <w:spacing w:line="800" w:lineRule="exact"/>
                        <w:ind w:firstLine="470" w:firstLineChars="147"/>
                        <w:rPr>
                          <w:rFonts w:hint="default" w:ascii="Times" w:hAnsi="Times" w:eastAsia="宋体"/>
                          <w:sz w:val="32"/>
                          <w:u w:val="single"/>
                          <w:lang w:val="en-US" w:eastAsia="zh-CN"/>
                        </w:rPr>
                      </w:pPr>
                      <w:r>
                        <w:rPr>
                          <w:rFonts w:ascii="Times" w:hAnsi="Times"/>
                          <w:sz w:val="32"/>
                        </w:rPr>
                        <w:t>课程名称：</w:t>
                      </w:r>
                      <w:r>
                        <w:rPr>
                          <w:rFonts w:ascii="Times" w:hAnsi="Times"/>
                          <w:sz w:val="32"/>
                          <w:u w:val="single"/>
                        </w:rPr>
                        <w:tab/>
                      </w:r>
                      <w:r>
                        <w:rPr>
                          <w:rFonts w:hint="eastAsia" w:ascii="Times" w:hAnsi="Times"/>
                          <w:sz w:val="32"/>
                          <w:u w:val="single"/>
                          <w:lang w:val="en-US" w:eastAsia="zh-CN"/>
                        </w:rPr>
                        <w:t xml:space="preserve">  进阶式挑战性综合课程设计I</w:t>
                      </w:r>
                      <w:r>
                        <w:rPr>
                          <w:rFonts w:hint="eastAsia" w:ascii="Times" w:hAnsi="Times"/>
                          <w:sz w:val="24"/>
                          <w:szCs w:val="24"/>
                          <w:u w:val="single"/>
                          <w:lang w:val="en-US" w:eastAsia="zh-CN"/>
                        </w:rPr>
                        <w:t xml:space="preserve">  </w:t>
                      </w:r>
                    </w:p>
                    <w:p w14:paraId="13CB8AC5">
                      <w:pPr>
                        <w:pStyle w:val="8"/>
                        <w:spacing w:line="800" w:lineRule="exact"/>
                        <w:ind w:firstLine="470" w:firstLineChars="147"/>
                        <w:rPr>
                          <w:rFonts w:ascii="Times" w:hAnsi="Times"/>
                          <w:sz w:val="32"/>
                          <w:u w:val="single"/>
                        </w:rPr>
                      </w:pPr>
                      <w:r>
                        <w:rPr>
                          <w:rFonts w:ascii="Times" w:hAnsi="Times"/>
                          <w:sz w:val="32"/>
                        </w:rPr>
                        <w:t>课题名称：</w:t>
                      </w:r>
                      <w:r>
                        <w:rPr>
                          <w:rFonts w:ascii="Times" w:hAnsi="Times"/>
                          <w:sz w:val="32"/>
                          <w:u w:val="single"/>
                        </w:rPr>
                        <w:tab/>
                      </w:r>
                      <w:r>
                        <w:rPr>
                          <w:rFonts w:hint="eastAsia" w:ascii="Times" w:hAnsi="Times"/>
                          <w:sz w:val="32"/>
                          <w:u w:val="single"/>
                          <w:lang w:val="en-US" w:eastAsia="zh-CN"/>
                        </w:rPr>
                        <w:t xml:space="preserve"> </w:t>
                      </w:r>
                      <w:r>
                        <w:rPr>
                          <w:rFonts w:hint="eastAsia" w:ascii="Times" w:hAnsi="Times"/>
                          <w:sz w:val="24"/>
                          <w:szCs w:val="24"/>
                          <w:u w:val="single"/>
                        </w:rPr>
                        <w:t>多数据源融合的互联网个人贷款风控系统</w:t>
                      </w:r>
                      <w:r>
                        <w:rPr>
                          <w:rFonts w:ascii="Times" w:hAnsi="Times"/>
                          <w:sz w:val="32"/>
                          <w:u w:val="single"/>
                        </w:rPr>
                        <w:tab/>
                      </w:r>
                    </w:p>
                    <w:p w14:paraId="029775A5">
                      <w:pPr>
                        <w:pStyle w:val="8"/>
                        <w:spacing w:line="800" w:lineRule="exact"/>
                        <w:ind w:firstLine="470" w:firstLineChars="147"/>
                        <w:rPr>
                          <w:rFonts w:ascii="Times" w:hAnsi="Times"/>
                          <w:sz w:val="32"/>
                          <w:u w:val="single"/>
                        </w:rPr>
                      </w:pPr>
                      <w:r>
                        <w:rPr>
                          <w:rFonts w:ascii="Times" w:hAnsi="Times"/>
                          <w:sz w:val="32"/>
                        </w:rPr>
                        <w:t>指导教师：</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lang w:val="en-US" w:eastAsia="zh-CN"/>
                        </w:rPr>
                        <w:t xml:space="preserve"> </w:t>
                      </w:r>
                      <w:r>
                        <w:rPr>
                          <w:rFonts w:hint="eastAsia" w:ascii="华文仿宋" w:hAnsi="华文仿宋" w:eastAsia="华文仿宋"/>
                          <w:sz w:val="32"/>
                          <w:szCs w:val="32"/>
                        </w:rPr>
                        <w:t>傅翀</w:t>
                      </w:r>
                      <w:r>
                        <w:rPr>
                          <w:rFonts w:ascii="Times" w:hAnsi="Times"/>
                          <w:sz w:val="32"/>
                          <w:u w:val="single"/>
                        </w:rPr>
                        <w:t xml:space="preserve">  </w:t>
                      </w:r>
                      <w:r>
                        <w:rPr>
                          <w:rFonts w:hint="eastAsia" w:ascii="Times" w:hAnsi="Times"/>
                          <w:sz w:val="32"/>
                          <w:u w:val="single"/>
                          <w:lang w:val="en-US" w:eastAsia="zh-CN"/>
                        </w:rPr>
                        <w:t xml:space="preserve">  </w:t>
                      </w:r>
                      <w:r>
                        <w:rPr>
                          <w:rFonts w:ascii="Times" w:hAnsi="Times"/>
                          <w:sz w:val="32"/>
                          <w:u w:val="single"/>
                        </w:rPr>
                        <w:t xml:space="preserve">        </w:t>
                      </w:r>
                      <w:r>
                        <w:rPr>
                          <w:rFonts w:ascii="Times" w:hAnsi="Times"/>
                          <w:sz w:val="32"/>
                          <w:u w:val="single"/>
                        </w:rPr>
                        <w:tab/>
                      </w:r>
                    </w:p>
                    <w:p w14:paraId="0788F8C3">
                      <w:pPr>
                        <w:pStyle w:val="8"/>
                        <w:spacing w:line="800" w:lineRule="exact"/>
                        <w:ind w:firstLine="470" w:firstLineChars="147"/>
                        <w:rPr>
                          <w:rFonts w:ascii="Times" w:hAnsi="Times"/>
                          <w:sz w:val="32"/>
                          <w:u w:val="single"/>
                        </w:rPr>
                      </w:pPr>
                      <w:r>
                        <w:rPr>
                          <w:rFonts w:ascii="Times" w:hAnsi="Times"/>
                          <w:sz w:val="32"/>
                        </w:rPr>
                        <w:t>所在系别：</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hint="eastAsia" w:ascii="华文仿宋" w:hAnsi="华文仿宋" w:eastAsia="华文仿宋"/>
                          <w:sz w:val="32"/>
                          <w:szCs w:val="32"/>
                        </w:rPr>
                        <w:t>互联网+金融</w:t>
                      </w:r>
                      <w:r>
                        <w:rPr>
                          <w:rFonts w:ascii="Times" w:hAnsi="Times"/>
                          <w:sz w:val="32"/>
                          <w:u w:val="single"/>
                        </w:rPr>
                        <w:t xml:space="preserve">  </w:t>
                      </w:r>
                      <w:r>
                        <w:rPr>
                          <w:rFonts w:hint="eastAsia" w:ascii="Times" w:hAnsi="Times"/>
                          <w:sz w:val="32"/>
                          <w:u w:val="single"/>
                          <w:lang w:val="en-US" w:eastAsia="zh-CN"/>
                        </w:rPr>
                        <w:t xml:space="preserve"> </w:t>
                      </w:r>
                      <w:r>
                        <w:rPr>
                          <w:rFonts w:ascii="Times" w:hAnsi="Times"/>
                          <w:sz w:val="32"/>
                          <w:u w:val="single"/>
                        </w:rPr>
                        <w:t xml:space="preserve">  </w:t>
                      </w:r>
                      <w:r>
                        <w:rPr>
                          <w:rFonts w:ascii="Times" w:hAnsi="Times"/>
                          <w:sz w:val="32"/>
                          <w:u w:val="single"/>
                        </w:rPr>
                        <w:tab/>
                      </w:r>
                      <w:r>
                        <w:rPr>
                          <w:rFonts w:ascii="Times" w:hAnsi="Times"/>
                          <w:sz w:val="32"/>
                          <w:u w:val="single"/>
                        </w:rPr>
                        <w:tab/>
                      </w:r>
                    </w:p>
                    <w:p w14:paraId="2CBBFEB3">
                      <w:pPr>
                        <w:pStyle w:val="8"/>
                        <w:spacing w:line="800" w:lineRule="exact"/>
                        <w:ind w:firstLine="470" w:firstLineChars="147"/>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lang w:val="en-US" w:eastAsia="zh-CN"/>
                        </w:rPr>
                        <w:t xml:space="preserve">   大二上学期</w:t>
                      </w:r>
                      <w:r>
                        <w:rPr>
                          <w:rFonts w:ascii="Times" w:hAnsi="Times"/>
                          <w:sz w:val="32"/>
                          <w:u w:val="single"/>
                        </w:rPr>
                        <w:t xml:space="preserve">       </w:t>
                      </w:r>
                      <w:r>
                        <w:rPr>
                          <w:rFonts w:ascii="Times" w:hAnsi="Times"/>
                          <w:sz w:val="32"/>
                          <w:u w:val="single"/>
                        </w:rPr>
                        <w:tab/>
                      </w:r>
                      <w:r>
                        <w:rPr>
                          <w:rFonts w:ascii="Times" w:hAnsi="Times"/>
                          <w:sz w:val="32"/>
                          <w:u w:val="single"/>
                        </w:rPr>
                        <w:tab/>
                      </w:r>
                    </w:p>
                    <w:p w14:paraId="4326E9CA">
                      <w:pPr>
                        <w:pStyle w:val="8"/>
                        <w:spacing w:line="800" w:lineRule="exact"/>
                        <w:ind w:firstLine="470" w:firstLineChars="147"/>
                        <w:rPr>
                          <w:rFonts w:ascii="Times" w:hAnsi="Times"/>
                          <w:sz w:val="32"/>
                        </w:rPr>
                      </w:pPr>
                      <w:r>
                        <w:rPr>
                          <w:rFonts w:ascii="Times" w:hAnsi="Times"/>
                          <w:sz w:val="32"/>
                        </w:rPr>
                        <w:t>学生信息：</w:t>
                      </w:r>
                    </w:p>
                    <w:tbl>
                      <w:tblPr>
                        <w:tblStyle w:val="23"/>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2835"/>
                      </w:tblGrid>
                      <w:tr w14:paraId="5004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550" w:type="dxa"/>
                            <w:tcBorders>
                              <w:top w:val="single" w:color="auto" w:sz="4" w:space="0"/>
                              <w:left w:val="single" w:color="auto" w:sz="4" w:space="0"/>
                              <w:bottom w:val="single" w:color="auto" w:sz="4" w:space="0"/>
                              <w:right w:val="single" w:color="auto" w:sz="4" w:space="0"/>
                            </w:tcBorders>
                            <w:vAlign w:val="center"/>
                          </w:tcPr>
                          <w:p w14:paraId="46E3D3FE">
                            <w:pPr>
                              <w:pStyle w:val="8"/>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14:paraId="2D48A51F">
                            <w:pPr>
                              <w:pStyle w:val="8"/>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14:paraId="56F354AD">
                            <w:pPr>
                              <w:pStyle w:val="8"/>
                              <w:jc w:val="center"/>
                              <w:rPr>
                                <w:rFonts w:ascii="Times" w:hAnsi="Times"/>
                                <w:color w:val="000000"/>
                              </w:rPr>
                            </w:pPr>
                            <w:r>
                              <w:rPr>
                                <w:rFonts w:ascii="Times" w:hAnsi="Times"/>
                                <w:color w:val="000000"/>
                              </w:rPr>
                              <w:t>姓名</w:t>
                            </w:r>
                          </w:p>
                        </w:tc>
                      </w:tr>
                      <w:tr w14:paraId="6C86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550" w:type="dxa"/>
                            <w:tcBorders>
                              <w:top w:val="single" w:color="auto" w:sz="4" w:space="0"/>
                              <w:left w:val="single" w:color="auto" w:sz="4" w:space="0"/>
                              <w:bottom w:val="single" w:color="auto" w:sz="4" w:space="0"/>
                              <w:right w:val="single" w:color="auto" w:sz="4" w:space="0"/>
                            </w:tcBorders>
                            <w:vAlign w:val="center"/>
                          </w:tcPr>
                          <w:p w14:paraId="51755F4E">
                            <w:pPr>
                              <w:pStyle w:val="8"/>
                              <w:jc w:val="center"/>
                              <w:rPr>
                                <w:rFonts w:ascii="Times" w:hAnsi="Times" w:cs="宋体"/>
                                <w:color w:val="000000"/>
                              </w:rPr>
                            </w:pPr>
                            <w:r>
                              <w:rPr>
                                <w:rFonts w:ascii="Times" w:hAnsi="Times" w:cs="宋体"/>
                                <w:color w:val="000000"/>
                              </w:rPr>
                              <w:t>1（组长）</w:t>
                            </w:r>
                          </w:p>
                        </w:tc>
                        <w:tc>
                          <w:tcPr>
                            <w:tcW w:w="3260" w:type="dxa"/>
                            <w:tcBorders>
                              <w:top w:val="single" w:color="auto" w:sz="4" w:space="0"/>
                              <w:left w:val="single" w:color="auto" w:sz="4" w:space="0"/>
                              <w:bottom w:val="single" w:color="auto" w:sz="4" w:space="0"/>
                              <w:right w:val="single" w:color="auto" w:sz="4" w:space="0"/>
                            </w:tcBorders>
                            <w:vAlign w:val="center"/>
                          </w:tcPr>
                          <w:p w14:paraId="1ED611E6">
                            <w:pPr>
                              <w:pStyle w:val="8"/>
                              <w:widowControl/>
                              <w:spacing w:before="30" w:after="30"/>
                              <w:jc w:val="center"/>
                              <w:rPr>
                                <w:rFonts w:hint="default" w:ascii="Times" w:hAnsi="Times" w:eastAsia="宋体" w:cs="宋体"/>
                                <w:color w:val="000000"/>
                                <w:kern w:val="0"/>
                                <w:lang w:val="en-US" w:eastAsia="zh-CN"/>
                              </w:rPr>
                            </w:pPr>
                            <w:r>
                              <w:rPr>
                                <w:rFonts w:hint="eastAsia" w:ascii="Times" w:hAnsi="Times" w:cs="宋体"/>
                                <w:color w:val="000000"/>
                                <w:kern w:val="0"/>
                                <w:lang w:val="en-US" w:eastAsia="zh-CN"/>
                              </w:rPr>
                              <w:t>2024091203018</w:t>
                            </w:r>
                          </w:p>
                        </w:tc>
                        <w:tc>
                          <w:tcPr>
                            <w:tcW w:w="2835" w:type="dxa"/>
                            <w:tcBorders>
                              <w:top w:val="single" w:color="auto" w:sz="4" w:space="0"/>
                              <w:left w:val="single" w:color="auto" w:sz="4" w:space="0"/>
                              <w:bottom w:val="single" w:color="auto" w:sz="4" w:space="0"/>
                              <w:right w:val="single" w:color="auto" w:sz="4" w:space="0"/>
                            </w:tcBorders>
                            <w:vAlign w:val="center"/>
                          </w:tcPr>
                          <w:p w14:paraId="157960E0">
                            <w:pPr>
                              <w:pStyle w:val="8"/>
                              <w:widowControl/>
                              <w:spacing w:before="30" w:after="30"/>
                              <w:jc w:val="center"/>
                              <w:rPr>
                                <w:rFonts w:hint="default" w:ascii="Times" w:hAnsi="Times" w:eastAsia="宋体" w:cs="宋体"/>
                                <w:color w:val="000000"/>
                                <w:kern w:val="0"/>
                                <w:lang w:val="en-US" w:eastAsia="zh-CN"/>
                              </w:rPr>
                            </w:pPr>
                            <w:r>
                              <w:rPr>
                                <w:rFonts w:hint="eastAsia" w:ascii="Times" w:hAnsi="Times" w:cs="宋体"/>
                                <w:color w:val="000000"/>
                                <w:kern w:val="0"/>
                                <w:lang w:val="en-US" w:eastAsia="zh-CN"/>
                              </w:rPr>
                              <w:t>龚陈陈</w:t>
                            </w:r>
                          </w:p>
                        </w:tc>
                      </w:tr>
                      <w:tr w14:paraId="0634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550" w:type="dxa"/>
                            <w:tcBorders>
                              <w:top w:val="single" w:color="auto" w:sz="4" w:space="0"/>
                              <w:left w:val="single" w:color="auto" w:sz="4" w:space="0"/>
                              <w:bottom w:val="single" w:color="auto" w:sz="4" w:space="0"/>
                              <w:right w:val="single" w:color="auto" w:sz="4" w:space="0"/>
                            </w:tcBorders>
                            <w:vAlign w:val="center"/>
                          </w:tcPr>
                          <w:p w14:paraId="72856240">
                            <w:pPr>
                              <w:pStyle w:val="8"/>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14:paraId="02172BC3">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2024091201030</w:t>
                            </w:r>
                          </w:p>
                        </w:tc>
                        <w:tc>
                          <w:tcPr>
                            <w:tcW w:w="2835" w:type="dxa"/>
                            <w:tcBorders>
                              <w:top w:val="single" w:color="auto" w:sz="4" w:space="0"/>
                              <w:left w:val="single" w:color="auto" w:sz="4" w:space="0"/>
                              <w:bottom w:val="single" w:color="auto" w:sz="4" w:space="0"/>
                              <w:right w:val="single" w:color="auto" w:sz="4" w:space="0"/>
                            </w:tcBorders>
                            <w:vAlign w:val="center"/>
                          </w:tcPr>
                          <w:p w14:paraId="5A0E013E">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王婷</w:t>
                            </w:r>
                          </w:p>
                        </w:tc>
                      </w:tr>
                      <w:tr w14:paraId="0C4A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50" w:type="dxa"/>
                            <w:tcBorders>
                              <w:top w:val="single" w:color="auto" w:sz="4" w:space="0"/>
                              <w:left w:val="single" w:color="auto" w:sz="4" w:space="0"/>
                              <w:bottom w:val="single" w:color="auto" w:sz="4" w:space="0"/>
                              <w:right w:val="single" w:color="auto" w:sz="4" w:space="0"/>
                            </w:tcBorders>
                            <w:vAlign w:val="center"/>
                          </w:tcPr>
                          <w:p w14:paraId="257E845A">
                            <w:pPr>
                              <w:pStyle w:val="8"/>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14:paraId="01A832DC">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2024091201029</w:t>
                            </w:r>
                          </w:p>
                        </w:tc>
                        <w:tc>
                          <w:tcPr>
                            <w:tcW w:w="2835" w:type="dxa"/>
                            <w:tcBorders>
                              <w:top w:val="single" w:color="auto" w:sz="4" w:space="0"/>
                              <w:left w:val="single" w:color="auto" w:sz="4" w:space="0"/>
                              <w:bottom w:val="single" w:color="auto" w:sz="4" w:space="0"/>
                              <w:right w:val="single" w:color="auto" w:sz="4" w:space="0"/>
                            </w:tcBorders>
                            <w:vAlign w:val="center"/>
                          </w:tcPr>
                          <w:p w14:paraId="2CB3E44F">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覃雨欣</w:t>
                            </w:r>
                          </w:p>
                        </w:tc>
                      </w:tr>
                      <w:tr w14:paraId="43A3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50" w:type="dxa"/>
                            <w:tcBorders>
                              <w:top w:val="single" w:color="auto" w:sz="4" w:space="0"/>
                              <w:left w:val="single" w:color="auto" w:sz="4" w:space="0"/>
                              <w:bottom w:val="single" w:color="auto" w:sz="4" w:space="0"/>
                              <w:right w:val="single" w:color="auto" w:sz="4" w:space="0"/>
                            </w:tcBorders>
                            <w:vAlign w:val="center"/>
                          </w:tcPr>
                          <w:p w14:paraId="2169C3B5">
                            <w:pPr>
                              <w:pStyle w:val="8"/>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14:paraId="7185AB17">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2024091201028</w:t>
                            </w:r>
                          </w:p>
                        </w:tc>
                        <w:tc>
                          <w:tcPr>
                            <w:tcW w:w="2835" w:type="dxa"/>
                            <w:tcBorders>
                              <w:top w:val="single" w:color="auto" w:sz="4" w:space="0"/>
                              <w:left w:val="single" w:color="auto" w:sz="4" w:space="0"/>
                              <w:bottom w:val="single" w:color="auto" w:sz="4" w:space="0"/>
                              <w:right w:val="single" w:color="auto" w:sz="4" w:space="0"/>
                            </w:tcBorders>
                            <w:vAlign w:val="center"/>
                          </w:tcPr>
                          <w:p w14:paraId="3001799F">
                            <w:pPr>
                              <w:pStyle w:val="8"/>
                              <w:widowControl/>
                              <w:spacing w:before="30" w:after="30"/>
                              <w:jc w:val="center"/>
                              <w:rPr>
                                <w:rFonts w:ascii="Times" w:hAnsi="Times" w:cs="宋体"/>
                                <w:color w:val="000000"/>
                                <w:kern w:val="0"/>
                              </w:rPr>
                            </w:pPr>
                            <w:r>
                              <w:rPr>
                                <w:rFonts w:ascii="Times" w:hAnsi="Times" w:cs="宋体"/>
                                <w:color w:val="000000"/>
                                <w:kern w:val="0"/>
                                <w:lang w:val="en-US" w:eastAsia="zh-CN"/>
                              </w:rPr>
                              <w:t>周飞凤</w:t>
                            </w:r>
                          </w:p>
                        </w:tc>
                      </w:tr>
                    </w:tbl>
                    <w:p w14:paraId="10C7CC6C">
                      <w:pPr>
                        <w:pStyle w:val="8"/>
                        <w:jc w:val="center"/>
                      </w:pPr>
                    </w:p>
                  </w:txbxContent>
                </v:textbox>
              </v:rect>
            </w:pict>
          </mc:Fallback>
        </mc:AlternateContent>
      </w:r>
    </w:p>
    <w:p w14:paraId="5D8151FB">
      <w:pPr>
        <w:pStyle w:val="8"/>
        <w:spacing w:before="600" w:after="600"/>
        <w:jc w:val="center"/>
        <w:rPr>
          <w:rFonts w:ascii="Times" w:hAnsi="Times" w:eastAsia="黑体"/>
          <w:sz w:val="30"/>
          <w:szCs w:val="30"/>
        </w:rPr>
      </w:pPr>
      <w:r>
        <w:rPr>
          <w:rFonts w:ascii="Times" w:hAnsi="Times" w:eastAsia="黑体"/>
          <w:sz w:val="30"/>
          <w:szCs w:val="30"/>
        </w:rPr>
        <w:t>目 录</w:t>
      </w:r>
    </w:p>
    <w:p w14:paraId="4532FE9F">
      <w:pPr>
        <w:pStyle w:val="17"/>
        <w:rPr>
          <w:rFonts w:ascii="Times" w:hAnsi="Times"/>
        </w:rPr>
      </w:pPr>
      <w:r>
        <w:rPr>
          <w:rFonts w:ascii="Times" w:hAnsi="Times" w:eastAsia="黑体-简"/>
        </w:rPr>
        <w:fldChar w:fldCharType="begin"/>
      </w:r>
      <w:r>
        <w:rPr>
          <w:rFonts w:ascii="Times" w:hAnsi="Times" w:eastAsia="黑体-简"/>
        </w:rPr>
        <w:instrText xml:space="preserve"> TOC \o "1-3" </w:instrText>
      </w:r>
      <w:r>
        <w:rPr>
          <w:rFonts w:ascii="Times" w:hAnsi="Times" w:eastAsia="黑体-简"/>
        </w:rPr>
        <w:fldChar w:fldCharType="separate"/>
      </w:r>
      <w:r>
        <w:rPr>
          <w:rFonts w:ascii="Times" w:hAnsi="Times"/>
        </w:rPr>
        <w:t>第一章 综合</w:t>
      </w:r>
      <w:r>
        <w:rPr>
          <w:rFonts w:hint="eastAsia" w:ascii="Times" w:hAnsi="Times"/>
        </w:rPr>
        <w:t>项目</w:t>
      </w:r>
      <w:r>
        <w:rPr>
          <w:rFonts w:ascii="Times" w:hAnsi="Times"/>
        </w:rPr>
        <w:t>的进展情况</w:t>
      </w:r>
      <w:r>
        <w:rPr>
          <w:rFonts w:ascii="Times" w:hAnsi="Times"/>
        </w:rPr>
        <w:tab/>
      </w:r>
      <w:r>
        <w:rPr>
          <w:rFonts w:ascii="Times" w:hAnsi="Times"/>
        </w:rPr>
        <w:fldChar w:fldCharType="begin"/>
      </w:r>
      <w:r>
        <w:rPr>
          <w:rFonts w:ascii="Times" w:hAnsi="Times"/>
        </w:rPr>
        <w:instrText xml:space="preserve"> PAGEREF _Toc469409103 \h </w:instrText>
      </w:r>
      <w:r>
        <w:rPr>
          <w:rFonts w:ascii="Times" w:hAnsi="Times"/>
        </w:rPr>
        <w:fldChar w:fldCharType="separate"/>
      </w:r>
      <w:r>
        <w:rPr>
          <w:rFonts w:ascii="Times" w:hAnsi="Times"/>
        </w:rPr>
        <w:t>1</w:t>
      </w:r>
      <w:r>
        <w:rPr>
          <w:rFonts w:ascii="Times" w:hAnsi="Times"/>
        </w:rPr>
        <w:fldChar w:fldCharType="end"/>
      </w:r>
    </w:p>
    <w:p w14:paraId="505EFDF1">
      <w:pPr>
        <w:pStyle w:val="20"/>
        <w:tabs>
          <w:tab w:val="left" w:pos="840"/>
          <w:tab w:val="right" w:leader="dot" w:pos="8494"/>
        </w:tabs>
        <w:spacing w:line="400" w:lineRule="exact"/>
        <w:jc w:val="both"/>
        <w:rPr>
          <w:rFonts w:ascii="Times New Roman" w:hAnsi="Times New Roman"/>
          <w:sz w:val="24"/>
          <w:szCs w:val="24"/>
        </w:rPr>
      </w:pPr>
      <w:r>
        <w:rPr>
          <w:rFonts w:ascii="Times New Roman" w:hAnsi="Times New Roman"/>
          <w:sz w:val="24"/>
          <w:szCs w:val="24"/>
        </w:rPr>
        <w:t>1.1   需求分析与建模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_Toc469409104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p w14:paraId="6740DAC5">
      <w:pPr>
        <w:pStyle w:val="20"/>
        <w:tabs>
          <w:tab w:val="left" w:pos="840"/>
          <w:tab w:val="right" w:leader="dot" w:pos="8494"/>
        </w:tabs>
        <w:spacing w:line="400" w:lineRule="exact"/>
        <w:jc w:val="both"/>
        <w:rPr>
          <w:rFonts w:ascii="Times New Roman" w:hAnsi="Times New Roman"/>
          <w:sz w:val="24"/>
          <w:szCs w:val="24"/>
        </w:rPr>
      </w:pPr>
      <w:r>
        <w:rPr>
          <w:rFonts w:ascii="Times New Roman" w:hAnsi="Times New Roman"/>
          <w:sz w:val="24"/>
          <w:szCs w:val="24"/>
        </w:rPr>
        <w:t>1.2   复杂工程问题归纳</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_Toc469409105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p w14:paraId="3E1597B3">
      <w:pPr>
        <w:pStyle w:val="20"/>
        <w:tabs>
          <w:tab w:val="left" w:pos="840"/>
          <w:tab w:val="right" w:leader="dot" w:pos="8494"/>
        </w:tabs>
        <w:spacing w:line="400" w:lineRule="exact"/>
        <w:jc w:val="both"/>
        <w:rPr>
          <w:rFonts w:ascii="Times New Roman" w:hAnsi="Times New Roman"/>
          <w:sz w:val="24"/>
          <w:szCs w:val="24"/>
        </w:rPr>
      </w:pPr>
      <w:r>
        <w:rPr>
          <w:rFonts w:ascii="Times New Roman" w:hAnsi="Times New Roman"/>
          <w:sz w:val="24"/>
          <w:szCs w:val="24"/>
        </w:rPr>
        <w:t>1.3   实施方案与可行性研究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_Toc469409106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p w14:paraId="5D698997">
      <w:pPr>
        <w:pStyle w:val="17"/>
        <w:rPr>
          <w:rFonts w:ascii="Times" w:hAnsi="Times"/>
        </w:rPr>
      </w:pPr>
      <w:r>
        <w:rPr>
          <w:rFonts w:ascii="Times" w:hAnsi="Times"/>
        </w:rPr>
        <w:t>第二章 存在问题与解决方案</w:t>
      </w:r>
      <w:r>
        <w:rPr>
          <w:rFonts w:ascii="Times" w:hAnsi="Times"/>
        </w:rPr>
        <w:tab/>
      </w:r>
      <w:r>
        <w:rPr>
          <w:rFonts w:ascii="Times" w:hAnsi="Times"/>
        </w:rPr>
        <w:fldChar w:fldCharType="begin"/>
      </w:r>
      <w:r>
        <w:rPr>
          <w:rFonts w:ascii="Times" w:hAnsi="Times"/>
        </w:rPr>
        <w:instrText xml:space="preserve"> PAGEREF _Toc469409107 \h </w:instrText>
      </w:r>
      <w:r>
        <w:rPr>
          <w:rFonts w:ascii="Times" w:hAnsi="Times"/>
        </w:rPr>
        <w:fldChar w:fldCharType="separate"/>
      </w:r>
      <w:r>
        <w:rPr>
          <w:rFonts w:ascii="Times" w:hAnsi="Times"/>
        </w:rPr>
        <w:t>2</w:t>
      </w:r>
      <w:r>
        <w:rPr>
          <w:rFonts w:ascii="Times" w:hAnsi="Times"/>
        </w:rPr>
        <w:fldChar w:fldCharType="end"/>
      </w:r>
    </w:p>
    <w:p w14:paraId="34D03E59">
      <w:pPr>
        <w:pStyle w:val="20"/>
        <w:tabs>
          <w:tab w:val="right" w:leader="dot" w:pos="8494"/>
        </w:tabs>
        <w:spacing w:line="400" w:lineRule="exact"/>
        <w:jc w:val="both"/>
        <w:rPr>
          <w:rFonts w:ascii="Times" w:hAnsi="Times"/>
          <w:sz w:val="24"/>
          <w:szCs w:val="24"/>
        </w:rPr>
      </w:pPr>
      <w:r>
        <w:rPr>
          <w:rFonts w:ascii="Times" w:hAnsi="Times"/>
          <w:sz w:val="24"/>
          <w:szCs w:val="24"/>
        </w:rPr>
        <w:t>2.1   存在的主要问题</w:t>
      </w:r>
      <w:r>
        <w:rPr>
          <w:rFonts w:ascii="Times" w:hAnsi="Times"/>
          <w:sz w:val="24"/>
          <w:szCs w:val="24"/>
        </w:rPr>
        <w:tab/>
      </w:r>
      <w:r>
        <w:rPr>
          <w:rFonts w:ascii="Times" w:hAnsi="Times"/>
          <w:sz w:val="24"/>
          <w:szCs w:val="24"/>
        </w:rPr>
        <w:fldChar w:fldCharType="begin"/>
      </w:r>
      <w:r>
        <w:rPr>
          <w:rFonts w:ascii="Times" w:hAnsi="Times"/>
          <w:sz w:val="24"/>
          <w:szCs w:val="24"/>
        </w:rPr>
        <w:instrText xml:space="preserve"> PAGEREF _Toc469409108 \h </w:instrText>
      </w:r>
      <w:r>
        <w:rPr>
          <w:rFonts w:ascii="Times" w:hAnsi="Times"/>
          <w:sz w:val="24"/>
          <w:szCs w:val="24"/>
        </w:rPr>
        <w:fldChar w:fldCharType="separate"/>
      </w:r>
      <w:r>
        <w:rPr>
          <w:rFonts w:ascii="Times" w:hAnsi="Times"/>
          <w:sz w:val="24"/>
          <w:szCs w:val="24"/>
        </w:rPr>
        <w:t>2</w:t>
      </w:r>
      <w:r>
        <w:rPr>
          <w:rFonts w:ascii="Times" w:hAnsi="Times"/>
          <w:sz w:val="24"/>
          <w:szCs w:val="24"/>
        </w:rPr>
        <w:fldChar w:fldCharType="end"/>
      </w:r>
    </w:p>
    <w:p w14:paraId="33F4A3AA">
      <w:pPr>
        <w:pStyle w:val="20"/>
        <w:tabs>
          <w:tab w:val="right" w:leader="dot" w:pos="8494"/>
        </w:tabs>
        <w:spacing w:line="400" w:lineRule="exact"/>
        <w:jc w:val="both"/>
        <w:rPr>
          <w:rFonts w:ascii="Times" w:hAnsi="Times"/>
          <w:sz w:val="24"/>
          <w:szCs w:val="24"/>
        </w:rPr>
      </w:pPr>
      <w:r>
        <w:rPr>
          <w:rFonts w:ascii="Times" w:hAnsi="Times"/>
          <w:sz w:val="24"/>
          <w:szCs w:val="24"/>
        </w:rPr>
        <w:t>2.2   解决方案</w:t>
      </w:r>
      <w:r>
        <w:rPr>
          <w:rFonts w:ascii="Times" w:hAnsi="Times"/>
          <w:sz w:val="24"/>
          <w:szCs w:val="24"/>
        </w:rPr>
        <w:tab/>
      </w:r>
      <w:r>
        <w:rPr>
          <w:rFonts w:ascii="Times" w:hAnsi="Times"/>
          <w:sz w:val="24"/>
          <w:szCs w:val="24"/>
        </w:rPr>
        <w:fldChar w:fldCharType="begin"/>
      </w:r>
      <w:r>
        <w:rPr>
          <w:rFonts w:ascii="Times" w:hAnsi="Times"/>
          <w:sz w:val="24"/>
          <w:szCs w:val="24"/>
        </w:rPr>
        <w:instrText xml:space="preserve"> PAGEREF _Toc469409109 \h </w:instrText>
      </w:r>
      <w:r>
        <w:rPr>
          <w:rFonts w:ascii="Times" w:hAnsi="Times"/>
          <w:sz w:val="24"/>
          <w:szCs w:val="24"/>
        </w:rPr>
        <w:fldChar w:fldCharType="separate"/>
      </w:r>
      <w:r>
        <w:rPr>
          <w:rFonts w:ascii="Times" w:hAnsi="Times"/>
          <w:sz w:val="24"/>
          <w:szCs w:val="24"/>
        </w:rPr>
        <w:t>2</w:t>
      </w:r>
      <w:r>
        <w:rPr>
          <w:rFonts w:ascii="Times" w:hAnsi="Times"/>
          <w:sz w:val="24"/>
          <w:szCs w:val="24"/>
        </w:rPr>
        <w:fldChar w:fldCharType="end"/>
      </w:r>
    </w:p>
    <w:p w14:paraId="4B378799">
      <w:pPr>
        <w:pStyle w:val="17"/>
        <w:rPr>
          <w:rFonts w:ascii="Times" w:hAnsi="Times"/>
        </w:rPr>
      </w:pPr>
      <w:r>
        <w:rPr>
          <w:rFonts w:ascii="Times" w:hAnsi="Times"/>
        </w:rPr>
        <w:t>第三章 前期任务完成度与后续实施计划</w:t>
      </w:r>
      <w:r>
        <w:rPr>
          <w:rFonts w:ascii="Times" w:hAnsi="Times"/>
        </w:rPr>
        <w:tab/>
      </w:r>
      <w:r>
        <w:rPr>
          <w:rFonts w:ascii="Times" w:hAnsi="Times"/>
        </w:rPr>
        <w:fldChar w:fldCharType="begin"/>
      </w:r>
      <w:r>
        <w:rPr>
          <w:rFonts w:ascii="Times" w:hAnsi="Times"/>
        </w:rPr>
        <w:instrText xml:space="preserve"> PAGEREF _Toc469409110 \h </w:instrText>
      </w:r>
      <w:r>
        <w:rPr>
          <w:rFonts w:ascii="Times" w:hAnsi="Times"/>
        </w:rPr>
        <w:fldChar w:fldCharType="separate"/>
      </w:r>
      <w:r>
        <w:rPr>
          <w:rFonts w:ascii="Times" w:hAnsi="Times"/>
        </w:rPr>
        <w:t>3</w:t>
      </w:r>
      <w:r>
        <w:rPr>
          <w:rFonts w:ascii="Times" w:hAnsi="Times"/>
        </w:rPr>
        <w:fldChar w:fldCharType="end"/>
      </w:r>
    </w:p>
    <w:p w14:paraId="2C59E66E">
      <w:pPr>
        <w:pStyle w:val="17"/>
        <w:rPr>
          <w:rFonts w:ascii="Times" w:hAnsi="Times"/>
        </w:rPr>
      </w:pPr>
      <w:r>
        <w:rPr>
          <w:rFonts w:ascii="Times" w:hAnsi="Times"/>
        </w:rPr>
        <w:t>参考文献</w:t>
      </w:r>
      <w:r>
        <w:rPr>
          <w:rFonts w:ascii="Times" w:hAnsi="Times"/>
        </w:rPr>
        <w:tab/>
      </w:r>
      <w:r>
        <w:rPr>
          <w:rFonts w:ascii="Times" w:hAnsi="Times"/>
        </w:rPr>
        <w:fldChar w:fldCharType="begin"/>
      </w:r>
      <w:r>
        <w:rPr>
          <w:rFonts w:ascii="Times" w:hAnsi="Times"/>
        </w:rPr>
        <w:instrText xml:space="preserve"> PAGEREF _Toc469409111 \h </w:instrText>
      </w:r>
      <w:r>
        <w:rPr>
          <w:rFonts w:ascii="Times" w:hAnsi="Times"/>
        </w:rPr>
        <w:fldChar w:fldCharType="separate"/>
      </w:r>
      <w:r>
        <w:rPr>
          <w:rFonts w:ascii="Times" w:hAnsi="Times"/>
        </w:rPr>
        <w:t>4</w:t>
      </w:r>
      <w:r>
        <w:rPr>
          <w:rFonts w:ascii="Times" w:hAnsi="Times"/>
        </w:rPr>
        <w:fldChar w:fldCharType="end"/>
      </w:r>
    </w:p>
    <w:p w14:paraId="0FE9C861">
      <w:pPr>
        <w:pStyle w:val="17"/>
        <w:rPr>
          <w:rFonts w:ascii="Times" w:hAnsi="Times"/>
          <w:lang w:val="zh-CN"/>
        </w:rPr>
      </w:pPr>
      <w:r>
        <w:rPr>
          <w:rFonts w:ascii="Times" w:hAnsi="Times"/>
        </w:rPr>
        <w:fldChar w:fldCharType="end"/>
      </w:r>
    </w:p>
    <w:p w14:paraId="16B8F07B">
      <w:pPr>
        <w:pStyle w:val="8"/>
        <w:rPr>
          <w:rFonts w:ascii="Times" w:hAnsi="Times" w:eastAsia="黑体"/>
          <w:b/>
          <w:bCs/>
          <w:sz w:val="24"/>
          <w:szCs w:val="24"/>
          <w:lang w:val="zh-CN"/>
        </w:rPr>
      </w:pPr>
    </w:p>
    <w:p w14:paraId="1B92C720">
      <w:pPr>
        <w:pStyle w:val="8"/>
        <w:rPr>
          <w:rFonts w:ascii="Times" w:hAnsi="Times" w:eastAsia="黑体"/>
          <w:b/>
          <w:bCs/>
          <w:sz w:val="24"/>
          <w:szCs w:val="24"/>
          <w:lang w:val="zh-CN"/>
        </w:rPr>
      </w:pPr>
    </w:p>
    <w:p w14:paraId="00971EBD">
      <w:pPr>
        <w:pStyle w:val="35"/>
        <w:ind w:left="0" w:leftChars="0" w:firstLine="0" w:firstLineChars="0"/>
        <w:rPr>
          <w:rFonts w:ascii="Times" w:hAnsi="Times" w:eastAsia="黑体"/>
          <w:b/>
          <w:bCs/>
          <w:sz w:val="24"/>
        </w:rPr>
        <w:sectPr>
          <w:headerReference r:id="rId7" w:type="first"/>
          <w:footerReference r:id="rId8" w:type="first"/>
          <w:pgSz w:w="11906" w:h="16838"/>
          <w:pgMar w:top="1985" w:right="1701" w:bottom="1985" w:left="1701" w:header="1559" w:footer="1559" w:gutter="0"/>
          <w:pgBorders>
            <w:top w:val="single" w:color="auto" w:sz="4" w:space="1"/>
          </w:pgBorders>
          <w:pgNumType w:fmt="upperRoman" w:start="1"/>
          <w:cols w:space="720" w:num="1"/>
          <w:titlePg/>
          <w:docGrid w:type="lines" w:linePitch="312" w:charSpace="0"/>
        </w:sectPr>
      </w:pPr>
    </w:p>
    <w:p w14:paraId="18134B45">
      <w:pPr>
        <w:pStyle w:val="2"/>
        <w:keepNext w:val="0"/>
        <w:keepLines w:val="0"/>
        <w:widowControl/>
        <w:suppressLineNumbers w:val="0"/>
      </w:pPr>
      <w:bookmarkStart w:id="0" w:name="_复杂工程问题归纳与实施方案可行性研究"/>
      <w:bookmarkEnd w:id="0"/>
      <w:bookmarkStart w:id="1" w:name="_Toc448751704"/>
      <w:bookmarkStart w:id="2" w:name="_Toc469409107"/>
      <w:r>
        <w:t>互联网个人贷款及全流程风控系统</w:t>
      </w:r>
    </w:p>
    <w:p w14:paraId="33166C93">
      <w:pPr>
        <w:pStyle w:val="5"/>
        <w:keepNext w:val="0"/>
        <w:keepLines w:val="0"/>
        <w:widowControl/>
        <w:suppressLineNumbers w:val="0"/>
        <w:jc w:val="center"/>
      </w:pPr>
      <w:r>
        <w:t>第一章 综合项目的进展情况</w:t>
      </w:r>
    </w:p>
    <w:p w14:paraId="0CFB3BC5">
      <w:pPr>
        <w:pStyle w:val="6"/>
        <w:keepNext w:val="0"/>
        <w:keepLines w:val="0"/>
        <w:widowControl/>
        <w:suppressLineNumbers w:val="0"/>
      </w:pPr>
      <w:r>
        <w:t>1.1 需求分析与系统建模</w:t>
      </w:r>
    </w:p>
    <w:p w14:paraId="243A51F2">
      <w:pPr>
        <w:pStyle w:val="22"/>
        <w:keepNext w:val="0"/>
        <w:keepLines w:val="0"/>
        <w:widowControl/>
        <w:suppressLineNumbers w:val="0"/>
      </w:pPr>
      <w:r>
        <w:t>本项目旨在设计并实现一套“多数据源融合的互联网个人贷款及全流程风控系统”，面向C端用户提供便捷、安全的线上信贷服务，同时为金融机构提供可配置、可审计、合规的风控管理能力。根据《需求分析规范书》中的业务目标，系统需覆盖从用户注册、身份认证、贷款申请、智能审批、放款到账到贷后管理的完整生命周期。</w:t>
      </w:r>
    </w:p>
    <w:p w14:paraId="5705AE19">
      <w:pPr>
        <w:pStyle w:val="22"/>
        <w:keepNext w:val="0"/>
        <w:keepLines w:val="0"/>
        <w:widowControl/>
        <w:suppressLineNumbers w:val="0"/>
        <w:rPr>
          <w:rFonts w:hint="eastAsia"/>
          <w:lang w:val="en-US" w:eastAsia="zh-CN"/>
        </w:rPr>
      </w:pPr>
      <w:r>
        <w:t>在需求分析阶段，我们通过用户访谈、竞品分析和监管政策研读（如《个人信息保护法》《网络借贷信息中介机构业务活动管理暂行办法》），明确了三大核心用户角色：</w:t>
      </w:r>
      <w:r>
        <w:rPr>
          <w:rStyle w:val="25"/>
        </w:rPr>
        <w:t>借款人</w:t>
      </w:r>
      <w:r>
        <w:t>（普通用户）、</w:t>
      </w:r>
      <w:r>
        <w:rPr>
          <w:rStyle w:val="25"/>
        </w:rPr>
        <w:t>风控管理员</w:t>
      </w:r>
      <w:r>
        <w:t>（配置规则与查看报表）、</w:t>
      </w:r>
      <w:r>
        <w:rPr>
          <w:rStyle w:val="25"/>
        </w:rPr>
        <w:t>人工审核员</w:t>
      </w:r>
      <w:r>
        <w:t>（处理AI无法判定的边缘案例）。围绕这些角色，我们梳理出12项核心功能模块，包括OCR证件识别、人脸活体检测、征信数据调用、运营商数据授权、贷款产品配置、自动审批引擎、还款计划生成、逾期催收策略等</w:t>
      </w:r>
      <w:r>
        <w:rPr>
          <w:rFonts w:hint="eastAsia"/>
          <w:lang w:eastAsia="zh-CN"/>
        </w:rPr>
        <w:t>，</w:t>
      </w:r>
      <w:r>
        <w:rPr>
          <w:rFonts w:hint="eastAsia"/>
          <w:lang w:val="en-US" w:eastAsia="zh-CN"/>
        </w:rPr>
        <w:t>完善了</w:t>
      </w:r>
      <w:r>
        <w:rPr>
          <w:rFonts w:hint="eastAsia"/>
          <w:b/>
          <w:bCs/>
          <w:lang w:val="en-US" w:eastAsia="zh-CN"/>
        </w:rPr>
        <w:t>需求分析文档</w:t>
      </w:r>
      <w:r>
        <w:t>。</w:t>
      </w:r>
      <w:r>
        <w:rPr>
          <w:rFonts w:hint="eastAsia"/>
          <w:lang w:val="en-US" w:eastAsia="zh-CN"/>
        </w:rPr>
        <w:t>(详情见附页1《</w:t>
      </w:r>
      <w:r>
        <w:rPr>
          <w:rFonts w:hint="eastAsia"/>
          <w:b/>
          <w:bCs/>
          <w:lang w:val="en-US" w:eastAsia="zh-CN"/>
        </w:rPr>
        <w:t>需求分析报告</w:t>
      </w:r>
      <w:r>
        <w:rPr>
          <w:rFonts w:hint="eastAsia"/>
          <w:lang w:val="en-US" w:eastAsia="zh-CN"/>
        </w:rPr>
        <w:t>》)</w:t>
      </w:r>
    </w:p>
    <w:p w14:paraId="4DFEA8F7">
      <w:pPr>
        <w:pStyle w:val="22"/>
        <w:keepNext w:val="0"/>
        <w:keepLines w:val="0"/>
        <w:widowControl/>
        <w:suppressLineNumbers w:val="0"/>
        <w:rPr>
          <w:rFonts w:hint="default"/>
          <w:lang w:val="en-US" w:eastAsia="zh-CN"/>
        </w:rPr>
      </w:pPr>
      <w:r>
        <w:rPr>
          <w:rFonts w:hint="eastAsia"/>
          <w:lang w:val="en-US" w:eastAsia="zh-CN"/>
        </w:rPr>
        <w:t>同时我们确定了</w:t>
      </w:r>
      <w:r>
        <w:rPr>
          <w:rFonts w:hint="eastAsia"/>
          <w:b/>
          <w:bCs/>
          <w:lang w:val="en-US" w:eastAsia="zh-CN"/>
        </w:rPr>
        <w:t>技术选型文档</w:t>
      </w:r>
      <w:r>
        <w:rPr>
          <w:rFonts w:hint="eastAsia"/>
          <w:lang w:val="en-US" w:eastAsia="zh-CN"/>
        </w:rPr>
        <w:t>，明确了编程语言，提早进行技术的学习，为后续功能实现提供支撑。(详情见附件2《</w:t>
      </w:r>
      <w:r>
        <w:rPr>
          <w:rFonts w:hint="eastAsia"/>
          <w:b/>
          <w:bCs/>
          <w:lang w:val="en-US" w:eastAsia="zh-CN"/>
        </w:rPr>
        <w:t>技术选型文档</w:t>
      </w:r>
      <w:r>
        <w:rPr>
          <w:rFonts w:hint="eastAsia"/>
          <w:lang w:val="en-US" w:eastAsia="zh-CN"/>
        </w:rPr>
        <w:t>》)</w:t>
      </w:r>
    </w:p>
    <w:p w14:paraId="1D2F146A">
      <w:pPr>
        <w:pStyle w:val="22"/>
        <w:keepNext w:val="0"/>
        <w:keepLines w:val="0"/>
        <w:widowControl/>
        <w:suppressLineNumbers w:val="0"/>
        <w:jc w:val="center"/>
      </w:pPr>
      <w:r>
        <w:t>为直观表达系统功能边界与交互逻辑，我们绘制了</w:t>
      </w:r>
      <w:r>
        <w:rPr>
          <w:rStyle w:val="25"/>
        </w:rPr>
        <w:t>用例图</w:t>
      </w:r>
      <w:r>
        <w:t>（见图1-1），清晰展示了各参与者与系统之间的操作关系。例如，借款人可执行“提交贷款申请”“上传证明材料”“查看审批状态”等用例；而风控管理员则拥有“配置风控规则”“导出风险报表”“冻结高危账户”等权限。该图不仅帮助团队统一理解业务范围，也为后续接口设计提供了依据</w:t>
      </w:r>
      <w:r>
        <w:rPr>
          <w:rFonts w:hint="eastAsia"/>
          <w:lang w:eastAsia="zh-CN"/>
        </w:rPr>
        <w:t>。</w:t>
      </w:r>
      <w:r>
        <w:rPr>
          <w:rFonts w:ascii="宋体" w:hAnsi="宋体" w:eastAsia="宋体" w:cs="宋体"/>
          <w:sz w:val="24"/>
          <w:szCs w:val="24"/>
        </w:rPr>
        <w:drawing>
          <wp:inline distT="0" distB="0" distL="114300" distR="114300">
            <wp:extent cx="6038850" cy="6582410"/>
            <wp:effectExtent l="0" t="0" r="0" b="889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4"/>
                    <a:stretch>
                      <a:fillRect/>
                    </a:stretch>
                  </pic:blipFill>
                  <pic:spPr>
                    <a:xfrm>
                      <a:off x="0" y="0"/>
                      <a:ext cx="6038850" cy="6582410"/>
                    </a:xfrm>
                    <a:prstGeom prst="rect">
                      <a:avLst/>
                    </a:prstGeom>
                    <a:noFill/>
                    <a:ln w="9525">
                      <a:noFill/>
                    </a:ln>
                  </pic:spPr>
                </pic:pic>
              </a:graphicData>
            </a:graphic>
          </wp:inline>
        </w:drawing>
      </w:r>
      <w:r>
        <w:rPr>
          <w:rStyle w:val="28"/>
          <w:rFonts w:hint="eastAsia" w:ascii="宋体" w:hAnsi="宋体" w:eastAsia="宋体" w:cs="宋体"/>
          <w:sz w:val="24"/>
          <w:szCs w:val="24"/>
        </w:rPr>
        <w:t>图1-1 系统用例图</w:t>
      </w:r>
    </w:p>
    <w:p w14:paraId="794F5502">
      <w:pPr>
        <w:pStyle w:val="22"/>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88385" cy="7433310"/>
            <wp:effectExtent l="0" t="0" r="0" b="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5"/>
                    <a:stretch>
                      <a:fillRect/>
                    </a:stretch>
                  </pic:blipFill>
                  <pic:spPr>
                    <a:xfrm>
                      <a:off x="0" y="0"/>
                      <a:ext cx="3588385" cy="7433310"/>
                    </a:xfrm>
                    <a:prstGeom prst="rect">
                      <a:avLst/>
                    </a:prstGeom>
                    <a:noFill/>
                    <a:ln w="9525">
                      <a:noFill/>
                    </a:ln>
                  </pic:spPr>
                </pic:pic>
              </a:graphicData>
            </a:graphic>
          </wp:inline>
        </w:drawing>
      </w:r>
    </w:p>
    <w:p w14:paraId="21061C78">
      <w:pPr>
        <w:pStyle w:val="22"/>
        <w:keepNext w:val="0"/>
        <w:keepLines w:val="0"/>
        <w:widowControl/>
        <w:suppressLineNumbers w:val="0"/>
        <w:jc w:val="center"/>
      </w:pPr>
      <w:r>
        <w:rPr>
          <w:rStyle w:val="28"/>
          <w:rFonts w:hint="eastAsia" w:ascii="宋体" w:hAnsi="宋体" w:eastAsia="宋体" w:cs="宋体"/>
          <w:sz w:val="24"/>
          <w:szCs w:val="24"/>
        </w:rPr>
        <w:t>图1-1 系统用例图</w:t>
      </w:r>
    </w:p>
    <w:p w14:paraId="2C1059CB">
      <w:pPr>
        <w:pStyle w:val="22"/>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728595" cy="7543800"/>
            <wp:effectExtent l="0" t="0" r="0" b="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6"/>
                    <a:stretch>
                      <a:fillRect/>
                    </a:stretch>
                  </pic:blipFill>
                  <pic:spPr>
                    <a:xfrm>
                      <a:off x="0" y="0"/>
                      <a:ext cx="2728595" cy="7543800"/>
                    </a:xfrm>
                    <a:prstGeom prst="rect">
                      <a:avLst/>
                    </a:prstGeom>
                    <a:noFill/>
                    <a:ln w="9525">
                      <a:noFill/>
                    </a:ln>
                  </pic:spPr>
                </pic:pic>
              </a:graphicData>
            </a:graphic>
          </wp:inline>
        </w:drawing>
      </w:r>
    </w:p>
    <w:p w14:paraId="66E8DE25">
      <w:pPr>
        <w:pStyle w:val="22"/>
        <w:keepNext w:val="0"/>
        <w:keepLines w:val="0"/>
        <w:widowControl/>
        <w:suppressLineNumbers w:val="0"/>
        <w:jc w:val="center"/>
      </w:pPr>
      <w:r>
        <w:rPr>
          <w:rStyle w:val="28"/>
          <w:rFonts w:hint="eastAsia" w:ascii="宋体" w:hAnsi="宋体" w:eastAsia="宋体" w:cs="宋体"/>
          <w:sz w:val="24"/>
          <w:szCs w:val="24"/>
        </w:rPr>
        <w:t>图1-1 系统用例图</w:t>
      </w:r>
    </w:p>
    <w:p w14:paraId="5934BB40">
      <w:pPr>
        <w:pStyle w:val="22"/>
        <w:keepNext w:val="0"/>
        <w:keepLines w:val="0"/>
        <w:widowControl/>
        <w:suppressLineNumbers w:val="0"/>
        <w:jc w:val="center"/>
        <w:rPr>
          <w:rFonts w:ascii="宋体" w:hAnsi="宋体" w:eastAsia="宋体" w:cs="宋体"/>
          <w:sz w:val="24"/>
          <w:szCs w:val="24"/>
        </w:rPr>
      </w:pPr>
    </w:p>
    <w:p w14:paraId="19056EA3">
      <w:pPr>
        <w:pStyle w:val="22"/>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87345" cy="7311390"/>
            <wp:effectExtent l="0" t="0" r="8255" b="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17"/>
                    <a:stretch>
                      <a:fillRect/>
                    </a:stretch>
                  </pic:blipFill>
                  <pic:spPr>
                    <a:xfrm>
                      <a:off x="0" y="0"/>
                      <a:ext cx="2887345" cy="7311390"/>
                    </a:xfrm>
                    <a:prstGeom prst="rect">
                      <a:avLst/>
                    </a:prstGeom>
                    <a:noFill/>
                    <a:ln w="9525">
                      <a:noFill/>
                    </a:ln>
                  </pic:spPr>
                </pic:pic>
              </a:graphicData>
            </a:graphic>
          </wp:inline>
        </w:drawing>
      </w:r>
    </w:p>
    <w:p w14:paraId="083285F1">
      <w:pPr>
        <w:pStyle w:val="22"/>
        <w:keepNext w:val="0"/>
        <w:keepLines w:val="0"/>
        <w:widowControl/>
        <w:suppressLineNumbers w:val="0"/>
        <w:jc w:val="center"/>
      </w:pPr>
      <w:r>
        <w:rPr>
          <w:rStyle w:val="28"/>
          <w:rFonts w:hint="eastAsia" w:ascii="宋体" w:hAnsi="宋体" w:eastAsia="宋体" w:cs="宋体"/>
          <w:sz w:val="24"/>
          <w:szCs w:val="24"/>
        </w:rPr>
        <w:t>图1-1 系统用例图</w:t>
      </w:r>
    </w:p>
    <w:p w14:paraId="5193970E">
      <w:pPr>
        <w:pStyle w:val="22"/>
        <w:keepNext w:val="0"/>
        <w:keepLines w:val="0"/>
        <w:widowControl/>
        <w:suppressLineNumbers w:val="0"/>
      </w:pPr>
      <w:r>
        <w:t>此外，我们对核心业务流程——“贷款申请与审批”进行了详细建模。该流程涉及多个外部系统（如百行征信、运营商API）和内部微服务（如User Service、Risk Engine、Order Service），时序复杂、容错要求高。为此，我们使用UML时序图描述了关键交互步骤（见图1-2），包括用户提交申请 → 触发身份核验 → 并行调用多源数据 → 风控引擎评分 → 生成审批结果 → 创建贷款订单。该模型有助于发现潜在性能瓶颈（如串行调用导致延迟）并优化为异步并行处理。</w:t>
      </w:r>
      <w:r>
        <w:rPr>
          <w:rStyle w:val="25"/>
          <w:rFonts w:hint="eastAsia" w:ascii="宋体" w:hAnsi="宋体" w:eastAsia="宋体" w:cs="宋体"/>
          <w:sz w:val="24"/>
          <w:szCs w:val="24"/>
        </w:rPr>
        <w:drawing>
          <wp:inline distT="0" distB="0" distL="114300" distR="114300">
            <wp:extent cx="5394325" cy="2590165"/>
            <wp:effectExtent l="0" t="0" r="3175" b="635"/>
            <wp:docPr id="3" name="图片 3" descr="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图.drawio"/>
                    <pic:cNvPicPr>
                      <a:picLocks noChangeAspect="1"/>
                    </pic:cNvPicPr>
                  </pic:nvPicPr>
                  <pic:blipFill>
                    <a:blip r:embed="rId18"/>
                    <a:stretch>
                      <a:fillRect/>
                    </a:stretch>
                  </pic:blipFill>
                  <pic:spPr>
                    <a:xfrm>
                      <a:off x="0" y="0"/>
                      <a:ext cx="5394325" cy="2590165"/>
                    </a:xfrm>
                    <a:prstGeom prst="rect">
                      <a:avLst/>
                    </a:prstGeom>
                  </pic:spPr>
                </pic:pic>
              </a:graphicData>
            </a:graphic>
          </wp:inline>
        </w:drawing>
      </w:r>
    </w:p>
    <w:p w14:paraId="547BB8D1">
      <w:pPr>
        <w:pStyle w:val="22"/>
        <w:keepNext w:val="0"/>
        <w:keepLines w:val="0"/>
        <w:widowControl/>
        <w:suppressLineNumbers w:val="0"/>
        <w:ind w:left="720" w:right="720"/>
      </w:pPr>
      <w:r>
        <w:rPr>
          <w:rFonts w:hint="eastAsia" w:ascii="宋体" w:hAnsi="宋体" w:eastAsia="宋体" w:cs="宋体"/>
          <w:sz w:val="24"/>
          <w:szCs w:val="24"/>
        </w:rPr>
        <w:br w:type="textWrapping"/>
      </w:r>
      <w:r>
        <w:rPr>
          <w:rStyle w:val="28"/>
          <w:rFonts w:hint="eastAsia" w:ascii="宋体" w:hAnsi="宋体" w:eastAsia="宋体" w:cs="宋体"/>
          <w:sz w:val="24"/>
          <w:szCs w:val="24"/>
        </w:rPr>
        <w:t>图1-2 贷款申请审批时序图</w:t>
      </w:r>
    </w:p>
    <w:p w14:paraId="4D3CFF76">
      <w:pPr>
        <w:pStyle w:val="6"/>
        <w:keepNext w:val="0"/>
        <w:keepLines w:val="0"/>
        <w:widowControl/>
        <w:suppressLineNumbers w:val="0"/>
      </w:pPr>
      <w:r>
        <w:t>1.2 复杂工程问题归纳</w:t>
      </w:r>
    </w:p>
    <w:p w14:paraId="0314750A">
      <w:pPr>
        <w:pStyle w:val="22"/>
        <w:keepNext w:val="0"/>
        <w:keepLines w:val="0"/>
        <w:widowControl/>
        <w:suppressLineNumbers w:val="0"/>
      </w:pPr>
      <w:r>
        <w:t>在系统设计与开发过程中，我们识别出若干具有代表性的复杂工程问题，主要集中在</w:t>
      </w:r>
      <w:r>
        <w:rPr>
          <w:rStyle w:val="25"/>
        </w:rPr>
        <w:t>技术集成</w:t>
      </w:r>
      <w:r>
        <w:t>、</w:t>
      </w:r>
      <w:r>
        <w:rPr>
          <w:rStyle w:val="25"/>
        </w:rPr>
        <w:t>业务逻辑</w:t>
      </w:r>
      <w:r>
        <w:t>与</w:t>
      </w:r>
      <w:r>
        <w:rPr>
          <w:rStyle w:val="25"/>
        </w:rPr>
        <w:t>合规安全</w:t>
      </w:r>
      <w:r>
        <w:t>三个维度：</w:t>
      </w:r>
    </w:p>
    <w:p w14:paraId="5FE3FDB5">
      <w:pPr>
        <w:pStyle w:val="22"/>
        <w:keepNext w:val="0"/>
        <w:keepLines w:val="0"/>
        <w:widowControl/>
        <w:suppressLineNumbers w:val="0"/>
      </w:pPr>
      <w:r>
        <w:rPr>
          <w:rStyle w:val="25"/>
        </w:rPr>
        <w:t>（1）多源异构数据融合难题</w:t>
      </w:r>
      <w:r>
        <w:br w:type="textWrapping"/>
      </w:r>
      <w:r>
        <w:t>系统需实时接入征信、运营商通话记录、社保缴纳、电商行为等至少5类外部数据。这些数据在格式（JSON/XML/CSV）、更新频率（实时/日更/月更）、字段语义（如“收入”在不同平台定义不同）上存在显著差异。若直接拼接使用，将导致风控模型输入噪声大、误判率高。此问题属于典型的“数据孤岛”挑战，需在保证数据隐私前提下实现语义对齐与质量提升。</w:t>
      </w:r>
    </w:p>
    <w:p w14:paraId="661C592B">
      <w:pPr>
        <w:pStyle w:val="22"/>
        <w:keepNext w:val="0"/>
        <w:keepLines w:val="0"/>
        <w:widowControl/>
        <w:suppressLineNumbers w:val="0"/>
      </w:pPr>
      <w:r>
        <w:rPr>
          <w:rStyle w:val="25"/>
        </w:rPr>
        <w:t>（2）贷款状态机的高度复杂性</w:t>
      </w:r>
      <w:r>
        <w:br w:type="textWrapping"/>
      </w:r>
      <w:r>
        <w:t>一笔贷款在其生命周期中可能经历“草稿→待认证→AI初审→人工复核→批准→放款失败→重新提交→逾期→结清”等十余种状态，且状态转移受多重条件约束（如用户补传材料可回退至“待认证”，但放款成功后不可撤销）。传统if-else逻辑难以维护，易出现状态不一致或死循环。这要求我们采用状态模式（State Pattern）或专用状态机框架（如Spring StateMachine）进行建模。</w:t>
      </w:r>
    </w:p>
    <w:p w14:paraId="3087F025">
      <w:pPr>
        <w:pStyle w:val="22"/>
        <w:keepNext w:val="0"/>
        <w:keepLines w:val="0"/>
        <w:widowControl/>
        <w:suppressLineNumbers w:val="0"/>
        <w:ind w:left="720" w:right="720"/>
      </w:pPr>
      <w:r>
        <w:rPr>
          <w:rStyle w:val="25"/>
          <w:rFonts w:hint="eastAsia" w:ascii="宋体" w:hAnsi="宋体" w:eastAsia="宋体" w:cs="宋体"/>
          <w:sz w:val="24"/>
          <w:szCs w:val="24"/>
        </w:rPr>
        <w:drawing>
          <wp:inline distT="0" distB="0" distL="114300" distR="114300">
            <wp:extent cx="4507865" cy="7192645"/>
            <wp:effectExtent l="0" t="0" r="635" b="8255"/>
            <wp:docPr id="4" name="图片 4" descr="屏幕截图 2026-01-08 14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1-08 141350"/>
                    <pic:cNvPicPr>
                      <a:picLocks noChangeAspect="1"/>
                    </pic:cNvPicPr>
                  </pic:nvPicPr>
                  <pic:blipFill>
                    <a:blip r:embed="rId19"/>
                    <a:stretch>
                      <a:fillRect/>
                    </a:stretch>
                  </pic:blipFill>
                  <pic:spPr>
                    <a:xfrm>
                      <a:off x="0" y="0"/>
                      <a:ext cx="4507865" cy="7192645"/>
                    </a:xfrm>
                    <a:prstGeom prst="rect">
                      <a:avLst/>
                    </a:prstGeom>
                  </pic:spPr>
                </pic:pic>
              </a:graphicData>
            </a:graphic>
          </wp:inline>
        </w:drawing>
      </w:r>
      <w:r>
        <w:rPr>
          <w:rFonts w:hint="eastAsia" w:ascii="宋体" w:hAnsi="宋体" w:eastAsia="宋体" w:cs="宋体"/>
          <w:sz w:val="24"/>
          <w:szCs w:val="24"/>
        </w:rPr>
        <w:br w:type="textWrapping"/>
      </w:r>
      <w:r>
        <w:rPr>
          <w:rStyle w:val="28"/>
          <w:rFonts w:hint="eastAsia" w:ascii="宋体" w:hAnsi="宋体" w:eastAsia="宋体" w:cs="宋体"/>
          <w:sz w:val="24"/>
          <w:szCs w:val="24"/>
        </w:rPr>
        <w:t>图1-3 贷款申请状态流转图</w:t>
      </w:r>
    </w:p>
    <w:p w14:paraId="27AFBD30">
      <w:pPr>
        <w:pStyle w:val="22"/>
        <w:keepNext w:val="0"/>
        <w:keepLines w:val="0"/>
        <w:widowControl/>
        <w:suppressLineNumbers w:val="0"/>
      </w:pPr>
      <w:r>
        <w:rPr>
          <w:rStyle w:val="25"/>
        </w:rPr>
        <w:t>（3）金融级安全与合规压力</w:t>
      </w:r>
      <w:r>
        <w:br w:type="textWrapping"/>
      </w:r>
      <w:r>
        <w:t>作为涉及资金交易的系统，必须满足《个信法》对个人信息最小化收集、加密存储、用户授权撤回等要求。同时，所有风控决策需具备可解释性与可审计性，避免“黑箱AI”引发法律风险。此外，系统需防御常见Web攻击（如SQL注入、XSS、CSRF），并支持WAF、API网关限流、敏感操作日志留痕等机制。</w:t>
      </w:r>
    </w:p>
    <w:p w14:paraId="1F4DE4D0">
      <w:pPr>
        <w:pStyle w:val="6"/>
        <w:keepNext w:val="0"/>
        <w:keepLines w:val="0"/>
        <w:widowControl/>
        <w:suppressLineNumbers w:val="0"/>
      </w:pPr>
      <w:r>
        <w:t>1.3 实施方案与可行性研究</w:t>
      </w:r>
    </w:p>
    <w:p w14:paraId="72EDC8A4">
      <w:pPr>
        <w:pStyle w:val="22"/>
        <w:keepNext w:val="0"/>
        <w:keepLines w:val="0"/>
        <w:widowControl/>
        <w:suppressLineNumbers w:val="0"/>
      </w:pPr>
      <w:r>
        <w:t>针对上述挑战，我们制定了分层解耦、渐进迭代的技术实施方案，并对其可行性进行了充分论证。</w:t>
      </w:r>
    </w:p>
    <w:p w14:paraId="6E7506FB">
      <w:pPr>
        <w:pStyle w:val="22"/>
        <w:keepNext w:val="0"/>
        <w:keepLines w:val="0"/>
        <w:widowControl/>
        <w:suppressLineNumbers w:val="0"/>
      </w:pPr>
      <w:r>
        <w:rPr>
          <w:rStyle w:val="25"/>
        </w:rPr>
        <w:t>架构设计方面</w:t>
      </w:r>
      <w:r>
        <w:t>，系统采用前后端分离的微服务架构。后端基于Spring Boot + Spring Cloud Alibaba构建，划分为8个核心服务：Auth Service（认证授权）、User Service（用户管理）、Product Service（贷款产品）、Application Service（申请流程）、Risk Service（风控引擎）、Data Service（多源数据适配）、Order Service（订单与还款）、Notify Service（消息通知）。各服务通过Nacos注册中心发现彼此，使用OpenFeign进行远程调用，关键路径通过RocketMQ实现异步解耦，提升吞吐量与容错性。数据库采用MySQL 8.0（主从读写分离）+ Redis（缓存热点数据）+ Elasticsearch（日志与审计检索）组合，满足高并发与低延迟需求。</w:t>
      </w:r>
    </w:p>
    <w:p w14:paraId="5F6DA6BA">
      <w:pPr>
        <w:pStyle w:val="22"/>
        <w:keepNext w:val="0"/>
        <w:keepLines w:val="0"/>
        <w:widowControl/>
        <w:suppressLineNumbers w:val="0"/>
        <w:ind w:left="720" w:right="720"/>
      </w:pPr>
      <w:r>
        <w:rPr>
          <w:rFonts w:hint="eastAsia" w:ascii="宋体" w:hAnsi="宋体" w:eastAsia="宋体" w:cs="宋体"/>
          <w:sz w:val="24"/>
          <w:szCs w:val="24"/>
        </w:rPr>
        <w:br w:type="textWrapping"/>
      </w:r>
      <w:r>
        <w:rPr>
          <w:rStyle w:val="25"/>
          <w:rFonts w:hint="eastAsia" w:ascii="宋体" w:hAnsi="宋体" w:eastAsia="宋体" w:cs="宋体"/>
          <w:sz w:val="24"/>
          <w:szCs w:val="24"/>
        </w:rPr>
        <w:drawing>
          <wp:inline distT="0" distB="0" distL="114300" distR="114300">
            <wp:extent cx="5386070" cy="3992245"/>
            <wp:effectExtent l="0" t="0" r="11430" b="8255"/>
            <wp:docPr id="6" name="图片 6" descr="屏幕截图 2026-01-08 14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1-08 141913"/>
                    <pic:cNvPicPr>
                      <a:picLocks noChangeAspect="1"/>
                    </pic:cNvPicPr>
                  </pic:nvPicPr>
                  <pic:blipFill>
                    <a:blip r:embed="rId20"/>
                    <a:stretch>
                      <a:fillRect/>
                    </a:stretch>
                  </pic:blipFill>
                  <pic:spPr>
                    <a:xfrm>
                      <a:off x="0" y="0"/>
                      <a:ext cx="5386070" cy="3992245"/>
                    </a:xfrm>
                    <a:prstGeom prst="rect">
                      <a:avLst/>
                    </a:prstGeom>
                  </pic:spPr>
                </pic:pic>
              </a:graphicData>
            </a:graphic>
          </wp:inline>
        </w:drawing>
      </w:r>
      <w:r>
        <w:rPr>
          <w:rStyle w:val="28"/>
          <w:rFonts w:hint="eastAsia" w:ascii="宋体" w:hAnsi="宋体" w:eastAsia="宋体" w:cs="宋体"/>
          <w:sz w:val="24"/>
          <w:szCs w:val="24"/>
        </w:rPr>
        <w:t>图1-4 系统微服务架构图</w:t>
      </w:r>
    </w:p>
    <w:p w14:paraId="5639E8A6">
      <w:pPr>
        <w:pStyle w:val="22"/>
        <w:keepNext w:val="0"/>
        <w:keepLines w:val="0"/>
        <w:widowControl/>
        <w:suppressLineNumbers w:val="0"/>
      </w:pPr>
      <w:r>
        <w:rPr>
          <w:rStyle w:val="25"/>
        </w:rPr>
        <w:t>移动端开发方面</w:t>
      </w:r>
      <w:r>
        <w:t>，安卓端采用，兼顾开发效率与原生体验。目前已完成高保真原型设计，涵盖首页、贷款申请、资料上传、审批进度、我的账单等核心页面。UI组件库基于Ant Design Mobile定制，确保与Web管理后台视觉一致性。</w:t>
      </w:r>
    </w:p>
    <w:p w14:paraId="744984D7">
      <w:pPr>
        <w:pStyle w:val="22"/>
        <w:keepNext w:val="0"/>
        <w:keepLines w:val="0"/>
        <w:widowControl/>
        <w:suppressLineNumbers w:val="0"/>
        <w:ind w:left="720" w:right="720"/>
        <w:rPr>
          <w:rStyle w:val="28"/>
          <w:rFonts w:hint="eastAsia" w:ascii="宋体" w:hAnsi="宋体" w:eastAsia="宋体" w:cs="宋体"/>
          <w:sz w:val="24"/>
          <w:szCs w:val="24"/>
        </w:rPr>
      </w:pPr>
      <w:r>
        <w:rPr>
          <w:rStyle w:val="25"/>
          <w:rFonts w:hint="eastAsia" w:ascii="宋体" w:hAnsi="宋体" w:eastAsia="宋体" w:cs="宋体"/>
          <w:sz w:val="24"/>
          <w:szCs w:val="24"/>
        </w:rPr>
        <w:drawing>
          <wp:inline distT="0" distB="0" distL="114300" distR="114300">
            <wp:extent cx="2834640" cy="6300470"/>
            <wp:effectExtent l="0" t="0" r="10160" b="11430"/>
            <wp:docPr id="5" name="图片 5" descr="安卓端个人信息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安卓端个人信息界面"/>
                    <pic:cNvPicPr>
                      <a:picLocks noChangeAspect="1"/>
                    </pic:cNvPicPr>
                  </pic:nvPicPr>
                  <pic:blipFill>
                    <a:blip r:embed="rId21"/>
                    <a:stretch>
                      <a:fillRect/>
                    </a:stretch>
                  </pic:blipFill>
                  <pic:spPr>
                    <a:xfrm>
                      <a:off x="0" y="0"/>
                      <a:ext cx="2834640" cy="6300470"/>
                    </a:xfrm>
                    <a:prstGeom prst="rect">
                      <a:avLst/>
                    </a:prstGeom>
                  </pic:spPr>
                </pic:pic>
              </a:graphicData>
            </a:graphic>
          </wp:inline>
        </w:drawing>
      </w:r>
      <w:r>
        <w:rPr>
          <w:rFonts w:hint="eastAsia" w:ascii="宋体" w:hAnsi="宋体" w:eastAsia="宋体" w:cs="宋体"/>
          <w:sz w:val="24"/>
          <w:szCs w:val="24"/>
        </w:rPr>
        <w:br w:type="textWrapping"/>
      </w:r>
      <w:r>
        <w:rPr>
          <w:rStyle w:val="28"/>
          <w:rFonts w:hint="eastAsia" w:ascii="宋体" w:hAnsi="宋体" w:eastAsia="宋体" w:cs="宋体"/>
          <w:sz w:val="24"/>
          <w:szCs w:val="24"/>
        </w:rPr>
        <w:t>图1-5 安卓端贷款</w:t>
      </w:r>
      <w:r>
        <w:rPr>
          <w:rStyle w:val="28"/>
          <w:rFonts w:hint="eastAsia" w:ascii="宋体" w:hAnsi="宋体" w:cs="宋体"/>
          <w:sz w:val="24"/>
          <w:szCs w:val="24"/>
          <w:lang w:val="en-US" w:eastAsia="zh-CN"/>
        </w:rPr>
        <w:t>个人详情页</w:t>
      </w:r>
      <w:r>
        <w:rPr>
          <w:rStyle w:val="28"/>
          <w:rFonts w:hint="eastAsia" w:ascii="宋体" w:hAnsi="宋体" w:eastAsia="宋体" w:cs="宋体"/>
          <w:sz w:val="24"/>
          <w:szCs w:val="24"/>
        </w:rPr>
        <w:t>原型</w:t>
      </w:r>
    </w:p>
    <w:p w14:paraId="4EC7A72F">
      <w:pPr>
        <w:pStyle w:val="22"/>
        <w:keepNext w:val="0"/>
        <w:keepLines w:val="0"/>
        <w:widowControl/>
        <w:suppressLineNumbers w:val="0"/>
      </w:pPr>
      <w:r>
        <w:rPr>
          <w:rStyle w:val="25"/>
        </w:rPr>
        <w:t>可行性论证结论</w:t>
      </w:r>
      <w:r>
        <w:t xml:space="preserve">： </w:t>
      </w:r>
    </w:p>
    <w:p w14:paraId="085D5AE5">
      <w:pPr>
        <w:keepNext w:val="0"/>
        <w:keepLines w:val="0"/>
        <w:widowControl/>
        <w:numPr>
          <w:ilvl w:val="0"/>
          <w:numId w:val="3"/>
        </w:numPr>
        <w:suppressLineNumbers w:val="0"/>
        <w:spacing w:before="0" w:beforeAutospacing="1" w:after="0" w:afterAutospacing="1"/>
        <w:ind w:left="720" w:hanging="360"/>
      </w:pPr>
      <w:r>
        <w:rPr>
          <w:rStyle w:val="25"/>
        </w:rPr>
        <w:t>技术可行性</w:t>
      </w:r>
      <w:r>
        <w:t xml:space="preserve">：所选技术栈成熟稳定，社区资源丰富，团队成员具备相关开发经验； </w:t>
      </w:r>
    </w:p>
    <w:p w14:paraId="74542BF5">
      <w:pPr>
        <w:keepNext w:val="0"/>
        <w:keepLines w:val="0"/>
        <w:widowControl/>
        <w:numPr>
          <w:ilvl w:val="0"/>
          <w:numId w:val="3"/>
        </w:numPr>
        <w:suppressLineNumbers w:val="0"/>
        <w:spacing w:before="0" w:beforeAutospacing="1" w:after="0" w:afterAutospacing="1"/>
        <w:ind w:left="720" w:hanging="360"/>
      </w:pPr>
      <w:r>
        <w:rPr>
          <w:rStyle w:val="25"/>
        </w:rPr>
        <w:t>经济可行性</w:t>
      </w:r>
      <w:r>
        <w:t xml:space="preserve">：采用开源组件为主，云资源按需付费，成本可控； </w:t>
      </w:r>
    </w:p>
    <w:p w14:paraId="31FC2D44">
      <w:pPr>
        <w:keepNext w:val="0"/>
        <w:keepLines w:val="0"/>
        <w:widowControl/>
        <w:numPr>
          <w:ilvl w:val="0"/>
          <w:numId w:val="3"/>
        </w:numPr>
        <w:suppressLineNumbers w:val="0"/>
        <w:spacing w:before="0" w:beforeAutospacing="1" w:after="0" w:afterAutospacing="1"/>
        <w:ind w:left="720" w:hanging="360"/>
      </w:pPr>
      <w:r>
        <w:rPr>
          <w:rStyle w:val="25"/>
        </w:rPr>
        <w:t>时间可行性</w:t>
      </w:r>
      <w:r>
        <w:t xml:space="preserve">：采用敏捷开发，每两周一个迭代，当前进度符合甘特图规划； </w:t>
      </w:r>
    </w:p>
    <w:p w14:paraId="49A2A03F">
      <w:pPr>
        <w:keepNext w:val="0"/>
        <w:keepLines w:val="0"/>
        <w:widowControl/>
        <w:numPr>
          <w:ilvl w:val="0"/>
          <w:numId w:val="3"/>
        </w:numPr>
        <w:suppressLineNumbers w:val="0"/>
        <w:spacing w:before="0" w:beforeAutospacing="1" w:after="0" w:afterAutospacing="1"/>
        <w:ind w:left="720" w:hanging="360"/>
      </w:pPr>
      <w:r>
        <w:rPr>
          <w:rStyle w:val="25"/>
        </w:rPr>
        <w:t>合规可行性</w:t>
      </w:r>
      <w:r>
        <w:t>：已预留PIA（个人信息影响评估）接口，数据加密、授权日志等功能正在开发中。</w:t>
      </w:r>
    </w:p>
    <w:p w14:paraId="326EBAA3">
      <w:pPr>
        <w:pStyle w:val="22"/>
        <w:keepNext w:val="0"/>
        <w:keepLines w:val="0"/>
        <w:widowControl/>
        <w:suppressLineNumbers w:val="0"/>
      </w:pPr>
      <w:r>
        <w:t>综上所述，项目已完成需求建模、架构设计、核心模块编码及初步测试，关键技术路径验证通过，整体进展顺利，具备按期交付的基础。</w:t>
      </w:r>
    </w:p>
    <w:p w14:paraId="28D86634">
      <w:pPr>
        <w:pStyle w:val="2"/>
        <w:rPr>
          <w:rFonts w:ascii="Times" w:hAnsi="Times"/>
        </w:rPr>
      </w:pPr>
      <w:r>
        <w:rPr>
          <w:rFonts w:ascii="Times" w:hAnsi="Times"/>
        </w:rPr>
        <w:t>第二章 存在问题与解决方案</w:t>
      </w:r>
      <w:bookmarkEnd w:id="1"/>
      <w:bookmarkEnd w:id="2"/>
    </w:p>
    <w:p w14:paraId="537F3A5F">
      <w:pPr>
        <w:pStyle w:val="22"/>
        <w:keepNext w:val="0"/>
        <w:keepLines w:val="0"/>
        <w:widowControl/>
        <w:suppressLineNumbers w:val="0"/>
      </w:pPr>
      <w:bookmarkStart w:id="3" w:name="_Toc449340062"/>
      <w:bookmarkStart w:id="4" w:name="_Toc469409110"/>
      <w:r>
        <w:t>在项目推进过程中，尽管整体架构设计合理、技术选型成熟，但在实际开发与集成阶段，我们仍遇到了若干技术与协作层面的具体问题。这些问题若不及时解决，将影响系统稳定性、开发效率及最终交付质量。本章将系统梳理当前存在的主要问题，并提出针对性的解决方案与实施进展。</w:t>
      </w:r>
    </w:p>
    <w:p w14:paraId="0A2C4511">
      <w:pPr>
        <w:pStyle w:val="6"/>
        <w:keepNext w:val="0"/>
        <w:keepLines w:val="0"/>
        <w:widowControl/>
        <w:suppressLineNumbers w:val="0"/>
      </w:pPr>
      <w:r>
        <w:t>2.1 存在的主要问题</w:t>
      </w:r>
    </w:p>
    <w:p w14:paraId="795BC8E7">
      <w:pPr>
        <w:pStyle w:val="22"/>
        <w:keepNext w:val="0"/>
        <w:keepLines w:val="0"/>
        <w:widowControl/>
        <w:suppressLineNumbers w:val="0"/>
        <w:rPr>
          <w:rFonts w:hint="default" w:eastAsia="宋体"/>
          <w:lang w:val="en-US" w:eastAsia="zh-CN"/>
        </w:rPr>
      </w:pPr>
      <w:r>
        <w:rPr>
          <w:rStyle w:val="25"/>
        </w:rPr>
        <w:t>（</w:t>
      </w:r>
      <w:r>
        <w:rPr>
          <w:rStyle w:val="25"/>
          <w:rFonts w:hint="eastAsia"/>
          <w:lang w:val="en-US" w:eastAsia="zh-CN"/>
        </w:rPr>
        <w:t>1</w:t>
      </w:r>
      <w:r>
        <w:rPr>
          <w:rStyle w:val="25"/>
        </w:rPr>
        <w:t>）</w:t>
      </w:r>
      <w:r>
        <w:rPr>
          <w:rStyle w:val="25"/>
          <w:rFonts w:hint="eastAsia"/>
          <w:lang w:val="en-US" w:eastAsia="zh-CN"/>
        </w:rPr>
        <w:t>需求分析模糊，反复修改</w:t>
      </w:r>
      <w:r>
        <w:br w:type="textWrapping"/>
      </w:r>
      <w:r>
        <w:rPr>
          <w:rFonts w:hint="eastAsia"/>
          <w:lang w:val="en-US" w:eastAsia="zh-CN"/>
        </w:rPr>
        <w:tab/>
      </w:r>
      <w:r>
        <w:rPr>
          <w:rFonts w:hint="eastAsia"/>
          <w:lang w:val="en-US" w:eastAsia="zh-CN"/>
        </w:rPr>
        <w:t>小组对金融项目的需求分析存在着误差，在市场调研中与实际的贷款项目做对比，发现部分功能模块与实际需求存在较大出入。</w:t>
      </w:r>
    </w:p>
    <w:p w14:paraId="7A666A30">
      <w:pPr>
        <w:pStyle w:val="22"/>
        <w:keepNext w:val="0"/>
        <w:keepLines w:val="0"/>
        <w:widowControl/>
        <w:suppressLineNumbers w:val="0"/>
        <w:rPr>
          <w:rFonts w:hint="default" w:eastAsia="宋体"/>
          <w:lang w:val="en-US" w:eastAsia="zh-CN"/>
        </w:rPr>
      </w:pPr>
      <w:r>
        <w:rPr>
          <w:rStyle w:val="25"/>
        </w:rPr>
        <w:t>（</w:t>
      </w:r>
      <w:r>
        <w:rPr>
          <w:rStyle w:val="25"/>
          <w:rFonts w:hint="eastAsia"/>
          <w:lang w:val="en-US" w:eastAsia="zh-CN"/>
        </w:rPr>
        <w:t>2</w:t>
      </w:r>
      <w:r>
        <w:rPr>
          <w:rStyle w:val="25"/>
        </w:rPr>
        <w:t>）</w:t>
      </w:r>
      <w:r>
        <w:rPr>
          <w:rStyle w:val="25"/>
          <w:rFonts w:hint="eastAsia"/>
          <w:lang w:val="en-US" w:eastAsia="zh-CN"/>
        </w:rPr>
        <w:t>学习压力大</w:t>
      </w:r>
      <w:r>
        <w:br w:type="textWrapping"/>
      </w:r>
      <w:r>
        <w:rPr>
          <w:rFonts w:hint="eastAsia"/>
          <w:lang w:val="en-US" w:eastAsia="zh-CN"/>
        </w:rPr>
        <w:tab/>
      </w:r>
      <w:r>
        <w:rPr>
          <w:rFonts w:hint="eastAsia"/>
          <w:lang w:val="en-US" w:eastAsia="zh-CN"/>
        </w:rPr>
        <w:t>小组从零基础开始系统性构建项目，对大部分技术栈无了解，在需求分析阶段无法有效的构建代码的框架，无法知晓功能是否具有可实现性。</w:t>
      </w:r>
    </w:p>
    <w:p w14:paraId="7F1E4F37">
      <w:pPr>
        <w:pStyle w:val="6"/>
        <w:keepNext w:val="0"/>
        <w:keepLines w:val="0"/>
        <w:widowControl/>
        <w:suppressLineNumbers w:val="0"/>
      </w:pPr>
      <w:r>
        <w:t>2.2 解决方案与实施进展</w:t>
      </w:r>
    </w:p>
    <w:p w14:paraId="0B67CE31">
      <w:pPr>
        <w:pStyle w:val="22"/>
        <w:keepNext w:val="0"/>
        <w:keepLines w:val="0"/>
        <w:widowControl/>
        <w:suppressLineNumbers w:val="0"/>
        <w:rPr>
          <w:rFonts w:hint="eastAsia"/>
          <w:lang w:val="en-US" w:eastAsia="zh-CN"/>
        </w:rPr>
      </w:pPr>
      <w:r>
        <w:t>针对上述问题</w:t>
      </w:r>
      <w:r>
        <w:rPr>
          <w:rFonts w:hint="eastAsia"/>
          <w:lang w:eastAsia="zh-CN"/>
        </w:rPr>
        <w:t>，</w:t>
      </w:r>
      <w:r>
        <w:rPr>
          <w:rFonts w:hint="eastAsia"/>
          <w:lang w:val="en-US" w:eastAsia="zh-CN"/>
        </w:rPr>
        <w:t>我们参考了诸多贷款项目（花呗，银行贷款功能），调整并优化了已有的功能需求。</w:t>
      </w:r>
    </w:p>
    <w:p w14:paraId="5633D7CB">
      <w:pPr>
        <w:pStyle w:val="22"/>
        <w:keepNext w:val="0"/>
        <w:keepLines w:val="0"/>
        <w:widowControl/>
        <w:suppressLineNumbers w:val="0"/>
        <w:rPr>
          <w:rFonts w:hint="default"/>
          <w:lang w:val="en-US" w:eastAsia="zh-CN"/>
        </w:rPr>
      </w:pPr>
      <w:r>
        <w:rPr>
          <w:rFonts w:hint="eastAsia"/>
          <w:lang w:val="en-US" w:eastAsia="zh-CN"/>
        </w:rPr>
        <w:t>技术层面上，小组努力学习新技术，新知识，并不断实践尝试，为后续功能实现铺好编码基础。</w:t>
      </w:r>
    </w:p>
    <w:p w14:paraId="04C4D41F">
      <w:pPr>
        <w:pStyle w:val="2"/>
        <w:numPr>
          <w:ilvl w:val="0"/>
          <w:numId w:val="4"/>
        </w:numPr>
        <w:rPr>
          <w:rFonts w:ascii="Times" w:hAnsi="Times"/>
        </w:rPr>
      </w:pPr>
      <w:r>
        <w:rPr>
          <w:rFonts w:ascii="Times" w:hAnsi="Times"/>
        </w:rPr>
        <w:t>前期任务完成度与后续实施计划</w:t>
      </w:r>
      <w:bookmarkEnd w:id="3"/>
      <w:bookmarkEnd w:id="4"/>
    </w:p>
    <w:p w14:paraId="2F5B5532">
      <w:pPr>
        <w:pStyle w:val="6"/>
        <w:keepNext w:val="0"/>
        <w:keepLines w:val="0"/>
        <w:widowControl/>
        <w:suppressLineNumbers w:val="0"/>
        <w:rPr>
          <w:rFonts w:hint="eastAsia"/>
          <w:lang w:val="en-US" w:eastAsia="zh-CN"/>
        </w:rPr>
      </w:pPr>
      <w:r>
        <w:t>3.1 前期任务完成情况</w:t>
      </w:r>
    </w:p>
    <w:p w14:paraId="0F51A848">
      <w:pPr>
        <w:pStyle w:val="8"/>
        <w:numPr>
          <w:ilvl w:val="0"/>
          <w:numId w:val="0"/>
        </w:numPr>
        <w:rPr>
          <w:rFonts w:hint="eastAsia"/>
          <w:lang w:val="en-US" w:eastAsia="zh-CN"/>
        </w:rPr>
      </w:pPr>
      <w:r>
        <w:rPr>
          <w:rFonts w:hint="eastAsia"/>
          <w:lang w:val="en-US" w:eastAsia="zh-CN"/>
        </w:rPr>
        <w:t>目前我们完善了需求分析文档等软件工程文档的撰写，对需要的技术栈进行了相关深入的学习。</w:t>
      </w:r>
    </w:p>
    <w:p w14:paraId="27247F67">
      <w:pPr>
        <w:pStyle w:val="8"/>
        <w:numPr>
          <w:ilvl w:val="0"/>
          <w:numId w:val="0"/>
        </w:numPr>
        <w:rPr>
          <w:rFonts w:hint="eastAsia"/>
          <w:lang w:val="en-US" w:eastAsia="zh-CN"/>
        </w:rPr>
      </w:pPr>
      <w:r>
        <w:rPr>
          <w:rFonts w:hint="eastAsia"/>
          <w:lang w:val="en-US" w:eastAsia="zh-CN"/>
        </w:rPr>
        <w:t>功能实现上，实现了jwt(与核心业务分离)的模块。搭建demo框架，实践之后功能的撰写。</w:t>
      </w:r>
    </w:p>
    <w:p w14:paraId="227FB4F0">
      <w:pPr>
        <w:pStyle w:val="8"/>
        <w:numPr>
          <w:ilvl w:val="0"/>
          <w:numId w:val="0"/>
        </w:numPr>
        <w:rPr>
          <w:rFonts w:hint="eastAsia"/>
          <w:lang w:val="en-US" w:eastAsia="zh-CN"/>
        </w:rPr>
      </w:pPr>
      <w:r>
        <w:rPr>
          <w:rFonts w:hint="eastAsia"/>
          <w:lang w:val="en-US" w:eastAsia="zh-CN"/>
        </w:rPr>
        <w:t>前端视图端已初步实现了整体布局的规划。对视觉体验进行优化与调整。</w:t>
      </w:r>
    </w:p>
    <w:p w14:paraId="69D2F833">
      <w:pPr>
        <w:pStyle w:val="6"/>
        <w:keepNext w:val="0"/>
        <w:keepLines w:val="0"/>
        <w:widowControl/>
        <w:suppressLineNumbers w:val="0"/>
        <w:rPr>
          <w:rFonts w:hint="eastAsia"/>
          <w:lang w:val="en-US" w:eastAsia="zh-CN"/>
        </w:rPr>
      </w:pPr>
      <w:r>
        <w:t>3.2 后续实施计划</w:t>
      </w:r>
    </w:p>
    <w:p w14:paraId="566B75FC">
      <w:pPr>
        <w:pStyle w:val="8"/>
        <w:numPr>
          <w:ilvl w:val="0"/>
          <w:numId w:val="0"/>
        </w:numPr>
        <w:rPr>
          <w:rFonts w:hint="default"/>
          <w:lang w:val="en-US" w:eastAsia="zh-CN"/>
        </w:rPr>
      </w:pPr>
      <w:r>
        <w:rPr>
          <w:rFonts w:hint="eastAsia"/>
          <w:lang w:val="en-US" w:eastAsia="zh-CN"/>
        </w:rPr>
        <w:t>综1后半段时间，我们将完善基础业务功能的代码实现。并逐步完成设计文档、接口文档和测试文档，确保功能的可行性与易交接性。</w:t>
      </w:r>
    </w:p>
    <w:p w14:paraId="476DA039">
      <w:pPr>
        <w:pStyle w:val="6"/>
        <w:keepNext w:val="0"/>
        <w:keepLines w:val="0"/>
        <w:widowControl/>
        <w:suppressLineNumbers w:val="0"/>
        <w:rPr>
          <w:rFonts w:hint="default" w:eastAsia="宋体"/>
          <w:lang w:val="en-US" w:eastAsia="zh-CN"/>
        </w:rPr>
      </w:pPr>
    </w:p>
    <w:p w14:paraId="11FE0785">
      <w:pPr>
        <w:pStyle w:val="22"/>
        <w:keepNext w:val="0"/>
        <w:keepLines w:val="0"/>
        <w:widowControl/>
        <w:suppressLineNumbers w:val="0"/>
      </w:pPr>
      <w:bookmarkStart w:id="5" w:name="_Toc469409111"/>
      <w:bookmarkStart w:id="6" w:name="_Toc445328271"/>
      <w:r>
        <w:t>综上，前期工作已为系统主干打下坚实基础，后续将以风控系统建设为牵引，全面推进项目向完整、合规、可用的金融级应用迈进。</w:t>
      </w:r>
    </w:p>
    <w:bookmarkEnd w:id="5"/>
    <w:bookmarkEnd w:id="6"/>
    <w:p w14:paraId="4C609274">
      <w:pPr>
        <w:pStyle w:val="8"/>
        <w:widowControl w:val="0"/>
        <w:numPr>
          <w:ilvl w:val="0"/>
          <w:numId w:val="0"/>
        </w:numPr>
        <w:tabs>
          <w:tab w:val="left" w:pos="567"/>
        </w:tabs>
        <w:spacing w:line="400" w:lineRule="exact"/>
        <w:jc w:val="both"/>
        <w:rPr>
          <w:rFonts w:ascii="Times" w:hAnsi="Times" w:eastAsia="Songti SC"/>
          <w:szCs w:val="21"/>
        </w:rPr>
      </w:pPr>
    </w:p>
    <w:p w14:paraId="31706649">
      <w:pPr>
        <w:pStyle w:val="8"/>
        <w:widowControl w:val="0"/>
        <w:numPr>
          <w:ilvl w:val="0"/>
          <w:numId w:val="0"/>
        </w:numPr>
        <w:tabs>
          <w:tab w:val="left" w:pos="567"/>
        </w:tabs>
        <w:spacing w:line="400" w:lineRule="exact"/>
        <w:jc w:val="both"/>
        <w:rPr>
          <w:rFonts w:ascii="Times" w:hAnsi="Times" w:eastAsia="Songti SC"/>
          <w:szCs w:val="21"/>
        </w:rPr>
      </w:pPr>
    </w:p>
    <w:p w14:paraId="02A34FD7">
      <w:pPr>
        <w:pStyle w:val="8"/>
        <w:widowControl w:val="0"/>
        <w:numPr>
          <w:ilvl w:val="0"/>
          <w:numId w:val="0"/>
        </w:numPr>
        <w:tabs>
          <w:tab w:val="left" w:pos="567"/>
        </w:tabs>
        <w:spacing w:line="400" w:lineRule="exact"/>
        <w:jc w:val="both"/>
        <w:rPr>
          <w:rFonts w:ascii="Times" w:hAnsi="Times" w:eastAsia="Songti SC"/>
          <w:szCs w:val="21"/>
        </w:rPr>
      </w:pPr>
    </w:p>
    <w:p w14:paraId="300ED841">
      <w:pPr>
        <w:pStyle w:val="8"/>
        <w:widowControl w:val="0"/>
        <w:numPr>
          <w:ilvl w:val="0"/>
          <w:numId w:val="0"/>
        </w:numPr>
        <w:tabs>
          <w:tab w:val="left" w:pos="567"/>
        </w:tabs>
        <w:spacing w:line="400" w:lineRule="exact"/>
        <w:jc w:val="both"/>
        <w:rPr>
          <w:rFonts w:ascii="Times" w:hAnsi="Times" w:eastAsia="Songti SC"/>
          <w:szCs w:val="21"/>
        </w:rPr>
      </w:pPr>
    </w:p>
    <w:p w14:paraId="1CE80B9C">
      <w:pPr>
        <w:pStyle w:val="2"/>
        <w:bidi w:val="0"/>
        <w:rPr>
          <w:rFonts w:hint="eastAsia" w:ascii="宋体" w:hAnsi="宋体" w:eastAsia="宋体" w:cs="宋体"/>
          <w:b/>
          <w:bCs/>
        </w:rPr>
      </w:pPr>
    </w:p>
    <w:p w14:paraId="70172A4B">
      <w:pPr>
        <w:pStyle w:val="2"/>
        <w:bidi w:val="0"/>
        <w:rPr>
          <w:rFonts w:hint="eastAsia" w:ascii="宋体" w:hAnsi="宋体" w:eastAsia="宋体" w:cs="宋体"/>
          <w:b/>
          <w:bCs/>
        </w:rPr>
      </w:pPr>
    </w:p>
    <w:p w14:paraId="29F227B3">
      <w:pPr>
        <w:pStyle w:val="2"/>
        <w:bidi w:val="0"/>
        <w:rPr>
          <w:rFonts w:hint="eastAsia" w:ascii="宋体" w:hAnsi="宋体" w:eastAsia="宋体" w:cs="宋体"/>
          <w:b/>
          <w:bCs/>
        </w:rPr>
      </w:pPr>
    </w:p>
    <w:p w14:paraId="61E0AD25">
      <w:pPr>
        <w:pStyle w:val="2"/>
        <w:bidi w:val="0"/>
        <w:rPr>
          <w:rFonts w:hint="eastAsia" w:ascii="宋体" w:hAnsi="宋体" w:eastAsia="宋体" w:cs="宋体"/>
          <w:b/>
          <w:bCs/>
        </w:rPr>
      </w:pPr>
    </w:p>
    <w:p w14:paraId="24CA09FE">
      <w:pPr>
        <w:pStyle w:val="2"/>
        <w:bidi w:val="0"/>
        <w:rPr>
          <w:rFonts w:hint="eastAsia" w:ascii="宋体" w:hAnsi="宋体" w:eastAsia="宋体" w:cs="宋体"/>
          <w:b/>
          <w:bCs/>
        </w:rPr>
      </w:pPr>
    </w:p>
    <w:p w14:paraId="3FACF336">
      <w:pPr>
        <w:pStyle w:val="2"/>
        <w:bidi w:val="0"/>
        <w:rPr>
          <w:rFonts w:hint="eastAsia" w:ascii="宋体" w:hAnsi="宋体" w:eastAsia="宋体" w:cs="宋体"/>
          <w:b/>
          <w:bCs/>
        </w:rPr>
      </w:pPr>
    </w:p>
    <w:p w14:paraId="49CCA244">
      <w:pPr>
        <w:pStyle w:val="2"/>
        <w:bidi w:val="0"/>
        <w:rPr>
          <w:rFonts w:hint="eastAsia" w:ascii="宋体" w:hAnsi="宋体" w:eastAsia="宋体" w:cs="宋体"/>
          <w:b/>
          <w:bCs/>
        </w:rPr>
      </w:pPr>
    </w:p>
    <w:p w14:paraId="72AA0E23">
      <w:pPr>
        <w:pStyle w:val="2"/>
        <w:bidi w:val="0"/>
        <w:rPr>
          <w:rFonts w:hint="eastAsia" w:ascii="宋体" w:hAnsi="宋体" w:eastAsia="宋体" w:cs="宋体"/>
          <w:b/>
          <w:bCs/>
        </w:rPr>
      </w:pPr>
    </w:p>
    <w:p w14:paraId="705E59CB">
      <w:pPr>
        <w:pStyle w:val="2"/>
        <w:bidi w:val="0"/>
        <w:rPr>
          <w:rFonts w:hint="eastAsia" w:ascii="宋体" w:hAnsi="宋体" w:eastAsia="宋体" w:cs="宋体"/>
          <w:b/>
          <w:bCs/>
          <w:lang w:val="en-US" w:eastAsia="zh-CN"/>
        </w:rPr>
      </w:pPr>
      <w:r>
        <w:rPr>
          <w:rFonts w:hint="eastAsia" w:ascii="宋体" w:hAnsi="宋体" w:eastAsia="宋体" w:cs="宋体"/>
          <w:b/>
          <w:bCs/>
        </w:rPr>
        <w:t>附页1 需求分析</w:t>
      </w:r>
      <w:r>
        <w:rPr>
          <w:rFonts w:hint="eastAsia" w:ascii="宋体" w:hAnsi="宋体" w:eastAsia="宋体" w:cs="宋体"/>
          <w:b/>
          <w:bCs/>
          <w:lang w:val="en-US" w:eastAsia="zh-CN"/>
        </w:rPr>
        <w:t>文档</w:t>
      </w:r>
    </w:p>
    <w:p w14:paraId="2443C95A">
      <w:pPr>
        <w:pStyle w:val="8"/>
        <w:rPr>
          <w:rFonts w:hint="eastAsia" w:ascii="宋体" w:hAnsi="宋体" w:eastAsia="宋体" w:cs="宋体"/>
          <w:b w:val="0"/>
          <w:bCs w:val="0"/>
          <w:sz w:val="24"/>
          <w:szCs w:val="24"/>
          <w:lang w:val="en-US" w:eastAsia="zh-CN"/>
        </w:rPr>
      </w:pPr>
    </w:p>
    <w:p w14:paraId="51C5977C">
      <w:pPr>
        <w:pStyle w:val="8"/>
        <w:rPr>
          <w:rFonts w:hint="eastAsia" w:ascii="宋体" w:hAnsi="宋体" w:eastAsia="宋体" w:cs="宋体"/>
          <w:b w:val="0"/>
          <w:bCs w:val="0"/>
          <w:sz w:val="24"/>
          <w:szCs w:val="24"/>
          <w:lang w:val="en-US" w:eastAsia="zh-CN"/>
        </w:rPr>
      </w:pPr>
      <w:bookmarkStart w:id="7" w:name="多数据源融合的互联网个人贷款及全流程风控系统软件需求分析报告"/>
      <w:r>
        <w:rPr>
          <w:rFonts w:hint="eastAsia" w:ascii="宋体" w:hAnsi="宋体" w:eastAsia="宋体" w:cs="宋体"/>
          <w:b w:val="0"/>
          <w:bCs w:val="0"/>
          <w:sz w:val="24"/>
          <w:szCs w:val="24"/>
          <w:lang w:val="en-US" w:eastAsia="zh-CN"/>
        </w:rPr>
        <w:t>《多数据源融合的互联网个人贷款及全流程风控系统》软件需求分析报告</w:t>
      </w:r>
    </w:p>
    <w:p w14:paraId="64CA2C1D">
      <w:pPr>
        <w:pStyle w:val="8"/>
        <w:rPr>
          <w:rFonts w:hint="eastAsia" w:ascii="宋体" w:hAnsi="宋体" w:eastAsia="宋体" w:cs="宋体"/>
          <w:b w:val="0"/>
          <w:bCs w:val="0"/>
          <w:sz w:val="24"/>
          <w:szCs w:val="24"/>
          <w:lang w:val="en-US" w:eastAsia="zh-CN"/>
        </w:rPr>
      </w:pPr>
    </w:p>
    <w:bookmarkEnd w:id="7"/>
    <w:p w14:paraId="483041F3">
      <w:pPr>
        <w:pStyle w:val="8"/>
        <w:rPr>
          <w:rFonts w:hint="eastAsia" w:ascii="宋体" w:hAnsi="宋体" w:eastAsia="宋体" w:cs="宋体"/>
          <w:b w:val="0"/>
          <w:bCs w:val="0"/>
          <w:sz w:val="24"/>
          <w:szCs w:val="24"/>
          <w:lang w:val="en-US" w:eastAsia="zh-CN"/>
        </w:rPr>
      </w:pPr>
      <w:bookmarkStart w:id="8" w:name="X9e0e48bd65310e5622b496d9e969f57a0000021"/>
      <w:r>
        <w:rPr>
          <w:rFonts w:hint="eastAsia" w:ascii="宋体" w:hAnsi="宋体" w:eastAsia="宋体" w:cs="宋体"/>
          <w:b w:val="0"/>
          <w:bCs w:val="0"/>
          <w:sz w:val="24"/>
          <w:szCs w:val="24"/>
          <w:lang w:val="en-US" w:eastAsia="zh-CN"/>
        </w:rPr>
        <w:t>1. 引言</w:t>
      </w:r>
    </w:p>
    <w:p w14:paraId="6684F18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言部分旨在为《多数据源融合的互联网个人贷款及全流程风控系统》（以下简称“本系统”）的需求分析报告提供概览，帮助读者（如业务负责人、开发团队、测试及运维人员）快速理解文档结构、系统目标及其在业务中的定位，为后续设计、开发与验收工作提供清晰指引。</w:t>
      </w:r>
    </w:p>
    <w:p w14:paraId="60EDE7F6">
      <w:pPr>
        <w:pStyle w:val="8"/>
        <w:rPr>
          <w:rFonts w:hint="eastAsia" w:ascii="宋体" w:hAnsi="宋体" w:eastAsia="宋体" w:cs="宋体"/>
          <w:b w:val="0"/>
          <w:bCs w:val="0"/>
          <w:sz w:val="24"/>
          <w:szCs w:val="24"/>
          <w:lang w:val="en-US" w:eastAsia="zh-CN"/>
        </w:rPr>
      </w:pPr>
    </w:p>
    <w:p w14:paraId="22087885">
      <w:pPr>
        <w:pStyle w:val="8"/>
        <w:rPr>
          <w:rFonts w:hint="eastAsia" w:ascii="宋体" w:hAnsi="宋体" w:eastAsia="宋体" w:cs="宋体"/>
          <w:b w:val="0"/>
          <w:bCs w:val="0"/>
          <w:sz w:val="24"/>
          <w:szCs w:val="24"/>
          <w:lang w:val="en-US" w:eastAsia="zh-CN"/>
        </w:rPr>
      </w:pPr>
      <w:bookmarkStart w:id="9" w:name="X43afe48af1af0a7dd7a1bd23b11f3dc2a27eb48"/>
      <w:r>
        <w:rPr>
          <w:rFonts w:hint="eastAsia" w:ascii="宋体" w:hAnsi="宋体" w:eastAsia="宋体" w:cs="宋体"/>
          <w:b w:val="0"/>
          <w:bCs w:val="0"/>
          <w:sz w:val="24"/>
          <w:szCs w:val="24"/>
          <w:lang w:val="en-US" w:eastAsia="zh-CN"/>
        </w:rPr>
        <w:t>1.1 编写目的</w:t>
      </w:r>
    </w:p>
    <w:p w14:paraId="0FBD48D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本报告针对“多数据源融合的互联网个人贷款及全流程风控系统”编写，核心目的包括：</w:t>
      </w:r>
    </w:p>
    <w:p w14:paraId="2DFCEE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解决互联网个人贷款业务中“数据源分散（如征信、消费、社交数据孤立）、风控效率低（人工审核占比高）、全流程不连贯（申请-审批-贷后脱节）”的痛点；</w:t>
      </w:r>
    </w:p>
    <w:p w14:paraId="0770EF9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明确系统需求规格（当前版本V1.0，后续可基于业务迭代至V2.0/V3.0，新增AI风控模型、跨境数据源等功能）；</w:t>
      </w:r>
    </w:p>
    <w:p w14:paraId="6060774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为开发团队提供清晰的开发依据，为测试团队提供需求验证标准，为业务团队提供系统功能落地参考；</w:t>
      </w:r>
    </w:p>
    <w:p w14:paraId="665697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确保系统在数据使用、风控逻辑与流程管理中遵循《个人贷款管理暂行办法》《个人信息保护法》等监管要求，实现合规、高效、可追溯的全流程风控管理。</w:t>
      </w:r>
    </w:p>
    <w:p w14:paraId="467C3A9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本需求分析报告覆盖系统全模块需求，不涉及与本系统无直接关联的金融机构核心账务系统、第三方支付清算系统。</w:t>
      </w:r>
    </w:p>
    <w:p w14:paraId="3D3E7090">
      <w:pPr>
        <w:pStyle w:val="8"/>
        <w:rPr>
          <w:rFonts w:hint="eastAsia" w:ascii="宋体" w:hAnsi="宋体" w:eastAsia="宋体" w:cs="宋体"/>
          <w:b w:val="0"/>
          <w:bCs w:val="0"/>
          <w:sz w:val="24"/>
          <w:szCs w:val="24"/>
          <w:lang w:val="en-US" w:eastAsia="zh-CN"/>
        </w:rPr>
      </w:pPr>
    </w:p>
    <w:bookmarkEnd w:id="9"/>
    <w:p w14:paraId="17633ABD">
      <w:pPr>
        <w:pStyle w:val="8"/>
        <w:rPr>
          <w:rFonts w:hint="eastAsia" w:ascii="宋体" w:hAnsi="宋体" w:eastAsia="宋体" w:cs="宋体"/>
          <w:b w:val="0"/>
          <w:bCs w:val="0"/>
          <w:sz w:val="24"/>
          <w:szCs w:val="24"/>
          <w:lang w:val="en-US" w:eastAsia="zh-CN"/>
        </w:rPr>
      </w:pPr>
      <w:bookmarkStart w:id="10" w:name="X8ae136584c1964f34a26f4234cb1469964bda2f"/>
      <w:r>
        <w:rPr>
          <w:rFonts w:hint="eastAsia" w:ascii="宋体" w:hAnsi="宋体" w:eastAsia="宋体" w:cs="宋体"/>
          <w:b w:val="0"/>
          <w:bCs w:val="0"/>
          <w:sz w:val="24"/>
          <w:szCs w:val="24"/>
          <w:lang w:val="en-US" w:eastAsia="zh-CN"/>
        </w:rPr>
        <w:t>1.2 项目风险</w:t>
      </w:r>
    </w:p>
    <w:tbl>
      <w:tblPr>
        <w:tblStyle w:val="49"/>
        <w:tblW w:w="0" w:type="auto"/>
        <w:tblInd w:w="0" w:type="dxa"/>
        <w:tblLayout w:type="autofit"/>
        <w:tblCellMar>
          <w:top w:w="0" w:type="dxa"/>
          <w:left w:w="108" w:type="dxa"/>
          <w:bottom w:w="0" w:type="dxa"/>
          <w:right w:w="108" w:type="dxa"/>
        </w:tblCellMar>
      </w:tblPr>
      <w:tblGrid>
        <w:gridCol w:w="1979"/>
        <w:gridCol w:w="6735"/>
      </w:tblGrid>
      <w:tr w14:paraId="6A2FE5FF">
        <w:tblPrEx>
          <w:tblCellMar>
            <w:top w:w="0" w:type="dxa"/>
            <w:left w:w="108" w:type="dxa"/>
            <w:bottom w:w="0" w:type="dxa"/>
            <w:right w:w="108" w:type="dxa"/>
          </w:tblCellMar>
        </w:tblPrEx>
        <w:trPr>
          <w:tblHeader/>
        </w:trPr>
        <w:tc>
          <w:p w14:paraId="48B43C2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风险承担者</w:t>
            </w:r>
          </w:p>
        </w:tc>
        <w:tc>
          <w:p w14:paraId="2CB355D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主要风险描述</w:t>
            </w:r>
          </w:p>
        </w:tc>
      </w:tr>
      <w:tr w14:paraId="6D55FBC3">
        <w:tblPrEx>
          <w:tblCellMar>
            <w:top w:w="0" w:type="dxa"/>
            <w:left w:w="108" w:type="dxa"/>
            <w:bottom w:w="0" w:type="dxa"/>
            <w:right w:w="108" w:type="dxa"/>
          </w:tblCellMar>
        </w:tblPrEx>
        <w:tc>
          <w:p w14:paraId="08D75FD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任务提出者</w:t>
            </w:r>
          </w:p>
        </w:tc>
        <w:tc>
          <w:p w14:paraId="65318B6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多数据源对接不符合《个人信息保护法》，面临监管处罚；</w:t>
            </w:r>
          </w:p>
        </w:tc>
      </w:tr>
      <w:tr w14:paraId="28C32B57">
        <w:tblPrEx>
          <w:tblCellMar>
            <w:top w:w="0" w:type="dxa"/>
            <w:left w:w="108" w:type="dxa"/>
            <w:bottom w:w="0" w:type="dxa"/>
            <w:right w:w="108" w:type="dxa"/>
          </w:tblCellMar>
        </w:tblPrEx>
        <w:tc>
          <w:p w14:paraId="41316A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软件开发者</w:t>
            </w:r>
          </w:p>
        </w:tc>
        <w:tc>
          <w:p w14:paraId="19BF982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第三方数据源接口（如央行征信、芝麻信用）兼容性差，对接延迟；2. 高并发场景下系统响应超时 3. 风控模型准确率不足，导致坏账率上升</w:t>
            </w:r>
          </w:p>
        </w:tc>
      </w:tr>
      <w:tr w14:paraId="05F98534">
        <w:tblPrEx>
          <w:tblCellMar>
            <w:top w:w="0" w:type="dxa"/>
            <w:left w:w="108" w:type="dxa"/>
            <w:bottom w:w="0" w:type="dxa"/>
            <w:right w:w="108" w:type="dxa"/>
          </w:tblCellMar>
        </w:tblPrEx>
        <w:tc>
          <w:p w14:paraId="2F19E40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产品使用者（信贷审核员/申请人）</w:t>
            </w:r>
          </w:p>
        </w:tc>
        <w:tc>
          <w:p w14:paraId="648C4AF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审核员操作流程复杂，学习成本高；2. 申请人数据提交后数据源调用失败，影响申请体验</w:t>
            </w:r>
          </w:p>
        </w:tc>
      </w:tr>
      <w:bookmarkEnd w:id="10"/>
    </w:tbl>
    <w:p w14:paraId="023D47FB">
      <w:pPr>
        <w:pStyle w:val="8"/>
        <w:rPr>
          <w:rFonts w:hint="eastAsia" w:ascii="宋体" w:hAnsi="宋体" w:eastAsia="宋体" w:cs="宋体"/>
          <w:b w:val="0"/>
          <w:bCs w:val="0"/>
          <w:sz w:val="24"/>
          <w:szCs w:val="24"/>
          <w:lang w:val="en-US" w:eastAsia="zh-CN"/>
        </w:rPr>
      </w:pPr>
      <w:bookmarkStart w:id="11" w:name="X76c7a35e0a9eb165816574ef9b39a6e407a291e"/>
      <w:r>
        <w:rPr>
          <w:rFonts w:hint="eastAsia" w:ascii="宋体" w:hAnsi="宋体" w:eastAsia="宋体" w:cs="宋体"/>
          <w:b w:val="0"/>
          <w:bCs w:val="0"/>
          <w:sz w:val="24"/>
          <w:szCs w:val="24"/>
          <w:lang w:val="en-US" w:eastAsia="zh-CN"/>
        </w:rPr>
        <w:t>1.3 文档约定</w:t>
      </w:r>
    </w:p>
    <w:p w14:paraId="04F881F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正文风格：业务术语采用金融行业标准表述（如“贷前风控”“风险敞口”），技术术语采用GB/T 5271系列标准；</w:t>
      </w:r>
    </w:p>
    <w:p w14:paraId="2663E4B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提示方式：“必填需求”用“*”标注，“可选需求”用“o”标注；</w:t>
      </w:r>
    </w:p>
    <w:p w14:paraId="06685C5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重要符号：</w:t>
      </w:r>
    </w:p>
    <w:p w14:paraId="5BAA8FF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优先级继承：本文档中的需求优先级遵循如下继承原则（由高至低）：</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业务功能需求 &gt; 用户使用安全 &gt; 贷前风控决策 &gt; 全流程风控 &gt; 贷后逾期预警</w:t>
      </w:r>
    </w:p>
    <w:bookmarkEnd w:id="11"/>
    <w:p w14:paraId="62DB97D8">
      <w:pPr>
        <w:pStyle w:val="8"/>
        <w:rPr>
          <w:rFonts w:hint="eastAsia" w:ascii="宋体" w:hAnsi="宋体" w:eastAsia="宋体" w:cs="宋体"/>
          <w:b w:val="0"/>
          <w:bCs w:val="0"/>
          <w:sz w:val="24"/>
          <w:szCs w:val="24"/>
          <w:lang w:val="en-US" w:eastAsia="zh-CN"/>
        </w:rPr>
      </w:pPr>
      <w:bookmarkStart w:id="12" w:name="X9b9966d875400820b73e7f465469270d0359dc2"/>
      <w:r>
        <w:rPr>
          <w:rFonts w:hint="eastAsia" w:ascii="宋体" w:hAnsi="宋体" w:eastAsia="宋体" w:cs="宋体"/>
          <w:b w:val="0"/>
          <w:bCs w:val="0"/>
          <w:sz w:val="24"/>
          <w:szCs w:val="24"/>
          <w:lang w:val="en-US" w:eastAsia="zh-CN"/>
        </w:rPr>
        <w:t>1.4 预期读者和阅读建议</w:t>
      </w:r>
    </w:p>
    <w:tbl>
      <w:tblPr>
        <w:tblStyle w:val="49"/>
        <w:tblW w:w="0" w:type="auto"/>
        <w:tblInd w:w="0" w:type="dxa"/>
        <w:tblLayout w:type="autofit"/>
        <w:tblCellMar>
          <w:top w:w="0" w:type="dxa"/>
          <w:left w:w="108" w:type="dxa"/>
          <w:bottom w:w="0" w:type="dxa"/>
          <w:right w:w="108" w:type="dxa"/>
        </w:tblCellMar>
      </w:tblPr>
      <w:tblGrid>
        <w:gridCol w:w="1188"/>
        <w:gridCol w:w="7526"/>
      </w:tblGrid>
      <w:tr w14:paraId="74252855">
        <w:tblPrEx>
          <w:tblCellMar>
            <w:top w:w="0" w:type="dxa"/>
            <w:left w:w="108" w:type="dxa"/>
            <w:bottom w:w="0" w:type="dxa"/>
            <w:right w:w="108" w:type="dxa"/>
          </w:tblCellMar>
        </w:tblPrEx>
        <w:trPr>
          <w:tblHeader/>
        </w:trPr>
        <w:tc>
          <w:p w14:paraId="2CE9F45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读者类型</w:t>
            </w:r>
          </w:p>
        </w:tc>
        <w:tc>
          <w:p w14:paraId="034C7B0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阅读建议</w:t>
            </w:r>
          </w:p>
        </w:tc>
      </w:tr>
      <w:tr w14:paraId="17FE58A0">
        <w:tblPrEx>
          <w:tblCellMar>
            <w:top w:w="0" w:type="dxa"/>
            <w:left w:w="108" w:type="dxa"/>
            <w:bottom w:w="0" w:type="dxa"/>
            <w:right w:w="108" w:type="dxa"/>
          </w:tblCellMar>
        </w:tblPrEx>
        <w:tc>
          <w:p w14:paraId="3DAC0A5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个人贷款申请人</w:t>
            </w:r>
          </w:p>
        </w:tc>
        <w:tc>
          <w:p w14:paraId="28ED577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重点阅读“2.3用户类和特性”（申请人权限）、“3.1用户界面”（申请流程）、“6.5业务规则”（申请条件）</w:t>
            </w:r>
          </w:p>
        </w:tc>
      </w:tr>
      <w:tr w14:paraId="157F59C2">
        <w:tblPrEx>
          <w:tblCellMar>
            <w:top w:w="0" w:type="dxa"/>
            <w:left w:w="108" w:type="dxa"/>
            <w:bottom w:w="0" w:type="dxa"/>
            <w:right w:w="108" w:type="dxa"/>
          </w:tblCellMar>
        </w:tblPrEx>
        <w:tc>
          <w:p w14:paraId="3EBFFA8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开发团队</w:t>
            </w:r>
          </w:p>
        </w:tc>
        <w:tc>
          <w:p w14:paraId="5A66F3D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完整阅读，重点关注“3.外部接口需求”（数据源对接参数）、“5.系统功能需求”（功能逻辑）、“8.数据定义”（数据格式）</w:t>
            </w:r>
          </w:p>
        </w:tc>
      </w:tr>
      <w:tr w14:paraId="02E27E68">
        <w:tblPrEx>
          <w:tblCellMar>
            <w:top w:w="0" w:type="dxa"/>
            <w:left w:w="108" w:type="dxa"/>
            <w:bottom w:w="0" w:type="dxa"/>
            <w:right w:w="108" w:type="dxa"/>
          </w:tblCellMar>
        </w:tblPrEx>
        <w:tc>
          <w:p w14:paraId="71306F8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信贷审核员</w:t>
            </w:r>
          </w:p>
        </w:tc>
        <w:tc>
          <w:p w14:paraId="46E9AA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重点阅读“5.2用例描述”（审核流程）、“6.4业务规则”（风控阈值）、“6.5用户文档”（操作手册）</w:t>
            </w:r>
          </w:p>
        </w:tc>
      </w:tr>
      <w:tr w14:paraId="1765986C">
        <w:tblPrEx>
          <w:tblCellMar>
            <w:top w:w="0" w:type="dxa"/>
            <w:left w:w="108" w:type="dxa"/>
            <w:bottom w:w="0" w:type="dxa"/>
            <w:right w:w="108" w:type="dxa"/>
          </w:tblCellMar>
        </w:tblPrEx>
        <w:tc>
          <w:p w14:paraId="6C23230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项目经理</w:t>
            </w:r>
          </w:p>
        </w:tc>
        <w:tc>
          <w:p w14:paraId="1E15E7E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重点阅读“1.2项目风险”（风险应对）、“2.6假设和约束”（项目依赖）、“6.1性能需求”（交付标准）</w:t>
            </w:r>
          </w:p>
        </w:tc>
      </w:tr>
      <w:tr w14:paraId="4E87C5AB">
        <w:tblPrEx>
          <w:tblCellMar>
            <w:top w:w="0" w:type="dxa"/>
            <w:left w:w="108" w:type="dxa"/>
            <w:bottom w:w="0" w:type="dxa"/>
            <w:right w:w="108" w:type="dxa"/>
          </w:tblCellMar>
        </w:tblPrEx>
        <w:tc>
          <w:p w14:paraId="4CE141C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测试团队</w:t>
            </w:r>
          </w:p>
        </w:tc>
        <w:tc>
          <w:p w14:paraId="1EEADD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重点阅读“5.1输入/输出数据”（测试数据）、“6.1性能需求”（性能测试指标）、“6.2安全措施需求”（安全测试点）</w:t>
            </w:r>
          </w:p>
        </w:tc>
      </w:tr>
      <w:bookmarkEnd w:id="12"/>
    </w:tbl>
    <w:p w14:paraId="6F987CA4">
      <w:pPr>
        <w:pStyle w:val="8"/>
        <w:rPr>
          <w:rFonts w:hint="eastAsia" w:ascii="宋体" w:hAnsi="宋体" w:eastAsia="宋体" w:cs="宋体"/>
          <w:b w:val="0"/>
          <w:bCs w:val="0"/>
          <w:sz w:val="24"/>
          <w:szCs w:val="24"/>
          <w:lang w:val="en-US" w:eastAsia="zh-CN"/>
        </w:rPr>
      </w:pPr>
      <w:bookmarkStart w:id="13" w:name="Xe8770bd6b6c7920336505b8a269eb1ce302d9c5"/>
    </w:p>
    <w:p w14:paraId="20BA903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 产品范围</w:t>
      </w:r>
    </w:p>
    <w:p w14:paraId="0889124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核心目标：通过多数据源融合实现互联网个人贷款“申请-风控-审批-放款-贷后”全流程自动化管理，降低人工成本，提升风控决策效率，控制坏账率；</w:t>
      </w:r>
    </w:p>
    <w:p w14:paraId="071C2C1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覆盖流程：</w:t>
      </w:r>
    </w:p>
    <w:p w14:paraId="12960C2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前端：申请人信息填写、贷款金额/期限选择、资料上传；</w:t>
      </w:r>
    </w:p>
    <w:p w14:paraId="4D01D40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中端：多数据源接入（央行征信、第三方信用、消费行为数据）、风控模型运算、自动/人工审批；</w:t>
      </w:r>
    </w:p>
    <w:p w14:paraId="4BAB6DB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后端：贷款合同签署、放款指令下发、贷后逾期监控/催收提醒；</w:t>
      </w:r>
    </w:p>
    <w:p w14:paraId="1C1A2BE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非覆盖范围：</w:t>
      </w:r>
    </w:p>
    <w:p w14:paraId="19024DD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企业贷款业务（仅支持个人贷款）；</w:t>
      </w:r>
    </w:p>
    <w:p w14:paraId="7A8EFE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资金存管/清算（依赖金融机构核心账务系统）；</w:t>
      </w:r>
    </w:p>
    <w:p w14:paraId="428BE31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线下纸质资料审核（仅支持线上电子化资料）。</w:t>
      </w:r>
    </w:p>
    <w:bookmarkEnd w:id="13"/>
    <w:p w14:paraId="75F3FDD6">
      <w:pPr>
        <w:pStyle w:val="8"/>
        <w:rPr>
          <w:rFonts w:hint="eastAsia" w:ascii="宋体" w:hAnsi="宋体" w:eastAsia="宋体" w:cs="宋体"/>
          <w:b w:val="0"/>
          <w:bCs w:val="0"/>
          <w:sz w:val="24"/>
          <w:szCs w:val="24"/>
          <w:lang w:val="en-US" w:eastAsia="zh-CN"/>
        </w:rPr>
      </w:pPr>
      <w:bookmarkStart w:id="14" w:name="X15a39bfd5e399d57631d54bc1cd124eecac7de4"/>
    </w:p>
    <w:p w14:paraId="2A025D44">
      <w:pPr>
        <w:pStyle w:val="8"/>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1.6 参考文献</w:t>
      </w:r>
    </w:p>
    <w:tbl>
      <w:tblPr>
        <w:tblStyle w:val="49"/>
        <w:tblW w:w="0" w:type="auto"/>
        <w:tblInd w:w="0" w:type="dxa"/>
        <w:tblLayout w:type="autofit"/>
        <w:tblCellMar>
          <w:top w:w="0" w:type="dxa"/>
          <w:left w:w="108" w:type="dxa"/>
          <w:bottom w:w="0" w:type="dxa"/>
          <w:right w:w="108" w:type="dxa"/>
        </w:tblCellMar>
      </w:tblPr>
      <w:tblGrid>
        <w:gridCol w:w="2355"/>
        <w:gridCol w:w="1340"/>
        <w:gridCol w:w="2655"/>
        <w:gridCol w:w="1416"/>
        <w:gridCol w:w="948"/>
      </w:tblGrid>
      <w:tr w14:paraId="39669AF1">
        <w:tblPrEx>
          <w:tblCellMar>
            <w:top w:w="0" w:type="dxa"/>
            <w:left w:w="108" w:type="dxa"/>
            <w:bottom w:w="0" w:type="dxa"/>
            <w:right w:w="108" w:type="dxa"/>
          </w:tblCellMar>
        </w:tblPrEx>
        <w:trPr>
          <w:tblHeader/>
        </w:trPr>
        <w:tc>
          <w:p w14:paraId="6C07643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文献名称</w:t>
            </w:r>
          </w:p>
        </w:tc>
        <w:tc>
          <w:p w14:paraId="4C92018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作者/签约者</w:t>
            </w:r>
          </w:p>
        </w:tc>
        <w:tc>
          <w:p w14:paraId="49C2142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文件编号</w:t>
            </w:r>
          </w:p>
        </w:tc>
        <w:tc>
          <w:p w14:paraId="4ACCA4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日期</w:t>
            </w:r>
          </w:p>
        </w:tc>
        <w:tc>
          <w:p w14:paraId="1DC8C8E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来源</w:t>
            </w:r>
          </w:p>
        </w:tc>
      </w:tr>
      <w:tr w14:paraId="5244E9E3">
        <w:tblPrEx>
          <w:tblCellMar>
            <w:top w:w="0" w:type="dxa"/>
            <w:left w:w="108" w:type="dxa"/>
            <w:bottom w:w="0" w:type="dxa"/>
            <w:right w:w="108" w:type="dxa"/>
          </w:tblCellMar>
        </w:tblPrEx>
        <w:tc>
          <w:p w14:paraId="3749896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《个人贷款管理暂行办法》</w:t>
            </w:r>
          </w:p>
        </w:tc>
        <w:tc>
          <w:p w14:paraId="591D90F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中国银保监会</w:t>
            </w:r>
          </w:p>
        </w:tc>
        <w:tc>
          <w:p w14:paraId="40CE7E9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银保监令〔2010〕2号</w:t>
            </w:r>
          </w:p>
        </w:tc>
        <w:tc>
          <w:p w14:paraId="477A389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2010-02-12</w:t>
            </w:r>
          </w:p>
        </w:tc>
        <w:tc>
          <w:p w14:paraId="799DAA4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银保监会官网</w:t>
            </w:r>
          </w:p>
        </w:tc>
      </w:tr>
      <w:tr w14:paraId="2D469476">
        <w:tblPrEx>
          <w:tblCellMar>
            <w:top w:w="0" w:type="dxa"/>
            <w:left w:w="108" w:type="dxa"/>
            <w:bottom w:w="0" w:type="dxa"/>
            <w:right w:w="108" w:type="dxa"/>
          </w:tblCellMar>
        </w:tblPrEx>
        <w:tc>
          <w:p w14:paraId="6CBE5D8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《个人信息保护法》</w:t>
            </w:r>
          </w:p>
        </w:tc>
        <w:tc>
          <w:p w14:paraId="336EA50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全国人大常委会</w:t>
            </w:r>
          </w:p>
        </w:tc>
        <w:tc>
          <w:p w14:paraId="5660B5E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中华人民共和国主席令第101号</w:t>
            </w:r>
          </w:p>
        </w:tc>
        <w:tc>
          <w:p w14:paraId="4932829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2021-08-20</w:t>
            </w:r>
          </w:p>
        </w:tc>
        <w:tc>
          <w:p w14:paraId="16A5723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全国人大官网</w:t>
            </w:r>
          </w:p>
        </w:tc>
      </w:tr>
      <w:tr w14:paraId="5D0FF7CE">
        <w:tblPrEx>
          <w:tblCellMar>
            <w:top w:w="0" w:type="dxa"/>
            <w:left w:w="108" w:type="dxa"/>
            <w:bottom w:w="0" w:type="dxa"/>
            <w:right w:w="108" w:type="dxa"/>
          </w:tblCellMar>
        </w:tblPrEx>
        <w:tc>
          <w:p w14:paraId="2AA53E1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央行征信系统接口规范（V2.0）</w:t>
            </w:r>
          </w:p>
        </w:tc>
        <w:tc>
          <w:p w14:paraId="2D93C47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中国人民银行征信中心</w:t>
            </w:r>
          </w:p>
        </w:tc>
        <w:tc>
          <w:p w14:paraId="33A97A6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ZX-JK-2023-V2.0</w:t>
            </w:r>
          </w:p>
        </w:tc>
        <w:tc>
          <w:p w14:paraId="18B21B7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2023-11-05</w:t>
            </w:r>
          </w:p>
        </w:tc>
        <w:tc>
          <w:p w14:paraId="393DD26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央行征信中心</w:t>
            </w:r>
          </w:p>
        </w:tc>
      </w:tr>
      <w:tr w14:paraId="753C4DB2">
        <w:tblPrEx>
          <w:tblCellMar>
            <w:top w:w="0" w:type="dxa"/>
            <w:left w:w="108" w:type="dxa"/>
            <w:bottom w:w="0" w:type="dxa"/>
            <w:right w:w="108" w:type="dxa"/>
          </w:tblCellMar>
        </w:tblPrEx>
        <w:tc>
          <w:p w14:paraId="12A6785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金融行业网络安全等级保护2.0标准</w:t>
            </w:r>
          </w:p>
        </w:tc>
        <w:tc>
          <w:p w14:paraId="40DEF4C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公安部/银保监会</w:t>
            </w:r>
          </w:p>
        </w:tc>
        <w:tc>
          <w:p w14:paraId="553D38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GB/T 22239-2019</w:t>
            </w:r>
          </w:p>
        </w:tc>
        <w:tc>
          <w:p w14:paraId="4A46424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2019-12-24</w:t>
            </w:r>
          </w:p>
        </w:tc>
        <w:tc>
          <w:p w14:paraId="037E46C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国家标准委</w:t>
            </w:r>
          </w:p>
        </w:tc>
      </w:tr>
      <w:bookmarkEnd w:id="8"/>
      <w:bookmarkEnd w:id="14"/>
    </w:tbl>
    <w:p w14:paraId="78BB6E31">
      <w:pPr>
        <w:pStyle w:val="8"/>
        <w:rPr>
          <w:rFonts w:hint="eastAsia" w:ascii="宋体" w:hAnsi="宋体" w:eastAsia="宋体" w:cs="宋体"/>
          <w:b w:val="0"/>
          <w:bCs w:val="0"/>
          <w:sz w:val="24"/>
          <w:szCs w:val="24"/>
          <w:lang w:val="en-US" w:eastAsia="zh-CN"/>
        </w:rPr>
      </w:pPr>
      <w:bookmarkStart w:id="15" w:name="X327817e964efa086cfbe653df2699987fbd01e8"/>
      <w:r>
        <w:rPr>
          <w:rFonts w:hint="eastAsia" w:ascii="宋体" w:hAnsi="宋体" w:eastAsia="宋体" w:cs="宋体"/>
          <w:b w:val="0"/>
          <w:bCs w:val="0"/>
          <w:sz w:val="24"/>
          <w:szCs w:val="24"/>
          <w:lang w:val="en-US" w:eastAsia="zh-CN"/>
        </w:rPr>
        <w:t>2. 综合描述</w:t>
      </w:r>
    </w:p>
    <w:p w14:paraId="3CD9E3C3">
      <w:pPr>
        <w:pStyle w:val="8"/>
        <w:rPr>
          <w:rFonts w:hint="eastAsia" w:ascii="宋体" w:hAnsi="宋体" w:eastAsia="宋体" w:cs="宋体"/>
          <w:b w:val="0"/>
          <w:bCs w:val="0"/>
          <w:sz w:val="24"/>
          <w:szCs w:val="24"/>
          <w:lang w:val="en-US" w:eastAsia="zh-CN"/>
        </w:rPr>
      </w:pPr>
      <w:bookmarkStart w:id="16" w:name="Xf6af7826326588192bd8f9c8069ab73e2ed97c8"/>
      <w:r>
        <w:rPr>
          <w:rFonts w:hint="eastAsia" w:ascii="宋体" w:hAnsi="宋体" w:eastAsia="宋体" w:cs="宋体"/>
          <w:b w:val="0"/>
          <w:bCs w:val="0"/>
          <w:sz w:val="24"/>
          <w:szCs w:val="24"/>
          <w:lang w:val="en-US" w:eastAsia="zh-CN"/>
        </w:rPr>
        <w:t>2.1 产品的状况</w:t>
      </w:r>
    </w:p>
    <w:p w14:paraId="211640F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产品类型：本项目为一款新型自主型产品，旨在通过多数据源的深度融合，构建覆盖个人贷款全流程的风控体系，以优化当前信贷系统中普遍存在的数据协同性不强、风控环节衔接不畅等问题。</w:t>
      </w:r>
    </w:p>
    <w:p w14:paraId="46660B8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系统关联：本系统为金融机构“互联网信贷体系”的核心子系统，需与以下系统对接：</w:t>
      </w:r>
    </w:p>
    <w:p w14:paraId="3AAE2A8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上游：央行征信系统、芝麻信用系统、第三方消费数据服务商系统（如百融云创）；</w:t>
      </w:r>
    </w:p>
    <w:p w14:paraId="1D3023B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下游：金融机构核心信贷系统（同步贷款合同/放款信息）、OA系统（推送审批通知）。</w:t>
      </w:r>
    </w:p>
    <w:bookmarkEnd w:id="16"/>
    <w:p w14:paraId="44A93BA2">
      <w:pPr>
        <w:pStyle w:val="8"/>
        <w:rPr>
          <w:rFonts w:hint="eastAsia" w:ascii="宋体" w:hAnsi="宋体" w:eastAsia="宋体" w:cs="宋体"/>
          <w:b w:val="0"/>
          <w:bCs w:val="0"/>
          <w:sz w:val="24"/>
          <w:szCs w:val="24"/>
          <w:lang w:val="en-US" w:eastAsia="zh-CN"/>
        </w:rPr>
      </w:pPr>
      <w:bookmarkStart w:id="17" w:name="X638fc59d18b8019878e0532b25f778f6fb78596"/>
    </w:p>
    <w:p w14:paraId="273C6A7D">
      <w:pPr>
        <w:pStyle w:val="8"/>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 产品的功能</w:t>
      </w:r>
    </w:p>
    <w:p w14:paraId="75086ADE">
      <w:pPr>
        <w:pStyle w:val="8"/>
        <w:rPr>
          <w:rFonts w:hint="eastAsia" w:ascii="宋体" w:hAnsi="宋体" w:eastAsia="宋体" w:cs="宋体"/>
          <w:b/>
          <w:bCs/>
          <w:sz w:val="24"/>
          <w:szCs w:val="24"/>
          <w:lang w:val="en-US" w:eastAsia="zh-CN"/>
        </w:rPr>
      </w:pPr>
      <w:bookmarkStart w:id="18" w:name="核心功能概览"/>
      <w:r>
        <w:rPr>
          <w:rFonts w:hint="eastAsia" w:ascii="宋体" w:hAnsi="宋体" w:eastAsia="宋体" w:cs="宋体"/>
          <w:b/>
          <w:bCs/>
          <w:sz w:val="24"/>
          <w:szCs w:val="24"/>
          <w:lang w:val="en-US" w:eastAsia="zh-CN"/>
        </w:rPr>
        <w:t>核心功能（概览）</w:t>
      </w:r>
    </w:p>
    <w:p w14:paraId="4D8AA31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多数据源接入与管理模块：支持包括央行征信、第三方信用数据、消费行为、社交数据等在内的多种数据源接入，具备数据清洗（如去重、缺失值处理）与标准化存储能力，为风险决策提供数据支撑；</w:t>
      </w:r>
    </w:p>
    <w:p w14:paraId="67A8EA8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个人贷款申请模块：前端支持H5/APP端接入，提供申请人信息填写、贷款参数（金额1千-50万，期限3-36个月）选择、并集成证件和银行卡OCR识别等辅助录入功能；</w:t>
      </w:r>
    </w:p>
    <w:p w14:paraId="4955B59D">
      <w:pPr>
        <w:pStyle w:val="8"/>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全流程风控决策模块：</w:t>
      </w:r>
    </w:p>
    <w:p w14:paraId="5D632D2E">
      <w:pPr>
        <w:pStyle w:val="8"/>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贷前：基于多数据源数据调用融合风控模型（逻辑回归+XGBoost）计算风险评分，自动生成“通过/拒绝/人工复核”结果；</w:t>
      </w:r>
    </w:p>
    <w:p w14:paraId="62783E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贷中：实时监控贷款用途（如是否流入房地产）、用户信用状况变化，触发风险预警；</w:t>
      </w:r>
    </w:p>
    <w:p w14:paraId="74655469">
      <w:pPr>
        <w:pStyle w:val="8"/>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贷后：按“逾期1/3/7/30天”分级预警，推送催收任务至催收团队；</w:t>
      </w:r>
    </w:p>
    <w:p w14:paraId="28E8B83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贷款审批与放款模块：支持自动审批（风险评分≥600分）、双人人工复核（500-599分），审批通过后自动生成电子合同、下发放款指令至核心信贷系统；</w:t>
      </w:r>
    </w:p>
    <w:p w14:paraId="06D50505">
      <w:pPr>
        <w:pStyle w:val="8"/>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风控模型管理模块：提供模型参数配置、历史数据回测及版本管理等工具，支持风控模型的持续优化与迭代。</w:t>
      </w:r>
    </w:p>
    <w:p w14:paraId="078312A5">
      <w:pPr>
        <w:pStyle w:val="8"/>
        <w:ind w:firstLine="420" w:firstLineChars="0"/>
        <w:rPr>
          <w:rFonts w:hint="eastAsia" w:ascii="宋体" w:hAnsi="宋体" w:eastAsia="宋体" w:cs="宋体"/>
          <w:b w:val="0"/>
          <w:bCs w:val="0"/>
          <w:sz w:val="24"/>
          <w:szCs w:val="24"/>
          <w:lang w:val="en-US" w:eastAsia="zh-CN"/>
        </w:rPr>
      </w:pPr>
    </w:p>
    <w:bookmarkEnd w:id="18"/>
    <w:p w14:paraId="7A9691FA">
      <w:pPr>
        <w:pStyle w:val="8"/>
        <w:rPr>
          <w:rFonts w:hint="eastAsia" w:ascii="宋体" w:hAnsi="宋体" w:eastAsia="宋体" w:cs="宋体"/>
          <w:b w:val="0"/>
          <w:bCs w:val="0"/>
          <w:sz w:val="24"/>
          <w:szCs w:val="24"/>
          <w:lang w:val="en-US" w:eastAsia="zh-CN"/>
        </w:rPr>
      </w:pPr>
      <w:bookmarkStart w:id="19" w:name="非作用领域"/>
      <w:r>
        <w:rPr>
          <w:rFonts w:hint="eastAsia" w:ascii="宋体" w:hAnsi="宋体" w:eastAsia="宋体" w:cs="宋体"/>
          <w:b/>
          <w:bCs/>
          <w:sz w:val="24"/>
          <w:szCs w:val="24"/>
          <w:lang w:val="en-US" w:eastAsia="zh-CN"/>
        </w:rPr>
        <w:t>非作用领域</w:t>
      </w:r>
    </w:p>
    <w:p w14:paraId="467EF8E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本系统的定位与边界如下，不涉及以下领域：</w:t>
      </w:r>
    </w:p>
    <w:p w14:paraId="2F17E2D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专注于个人贷款业务，不覆盖企业贷款相关流程；</w:t>
      </w:r>
    </w:p>
    <w:p w14:paraId="54F32F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不直接处理资金清算与结算，相关操作由下游核心账务系统完成；</w:t>
      </w:r>
    </w:p>
    <w:p w14:paraId="3B0097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不提供任何形式的征信修复、贷款代偿等不符合监管要求的服务。</w:t>
      </w:r>
    </w:p>
    <w:bookmarkEnd w:id="17"/>
    <w:bookmarkEnd w:id="19"/>
    <w:p w14:paraId="7F40ABD5">
      <w:pPr>
        <w:pStyle w:val="8"/>
        <w:rPr>
          <w:rFonts w:hint="eastAsia" w:ascii="宋体" w:hAnsi="宋体" w:eastAsia="宋体" w:cs="宋体"/>
          <w:b w:val="0"/>
          <w:bCs w:val="0"/>
          <w:sz w:val="24"/>
          <w:szCs w:val="24"/>
          <w:lang w:val="en-US" w:eastAsia="zh-CN"/>
        </w:rPr>
      </w:pPr>
      <w:bookmarkStart w:id="20" w:name="X7b630465f79b7641995719bbb82396ca905ab83"/>
    </w:p>
    <w:p w14:paraId="7E86B6E9">
      <w:pPr>
        <w:pStyle w:val="8"/>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 用户类和特性</w:t>
      </w:r>
    </w:p>
    <w:tbl>
      <w:tblPr>
        <w:tblStyle w:val="49"/>
        <w:tblW w:w="0" w:type="auto"/>
        <w:tblInd w:w="0" w:type="dxa"/>
        <w:tblLayout w:type="autofit"/>
        <w:tblCellMar>
          <w:top w:w="0" w:type="dxa"/>
          <w:left w:w="108" w:type="dxa"/>
          <w:bottom w:w="0" w:type="dxa"/>
          <w:right w:w="108" w:type="dxa"/>
        </w:tblCellMar>
      </w:tblPr>
      <w:tblGrid>
        <w:gridCol w:w="1371"/>
        <w:gridCol w:w="914"/>
        <w:gridCol w:w="6429"/>
      </w:tblGrid>
      <w:tr w14:paraId="3FDB4E95">
        <w:tblPrEx>
          <w:tblCellMar>
            <w:top w:w="0" w:type="dxa"/>
            <w:left w:w="108" w:type="dxa"/>
            <w:bottom w:w="0" w:type="dxa"/>
            <w:right w:w="108" w:type="dxa"/>
          </w:tblCellMar>
        </w:tblPrEx>
        <w:trPr>
          <w:tblHeader/>
        </w:trPr>
        <w:tc>
          <w:p w14:paraId="2284391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用户类</w:t>
            </w:r>
          </w:p>
        </w:tc>
        <w:tc>
          <w:p w14:paraId="7704627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类型</w:t>
            </w:r>
          </w:p>
        </w:tc>
        <w:tc>
          <w:p w14:paraId="6DF3761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核心特性与需求</w:t>
            </w:r>
          </w:p>
        </w:tc>
      </w:tr>
      <w:tr w14:paraId="03956554">
        <w:tblPrEx>
          <w:tblCellMar>
            <w:top w:w="0" w:type="dxa"/>
            <w:left w:w="108" w:type="dxa"/>
            <w:bottom w:w="0" w:type="dxa"/>
            <w:right w:w="108" w:type="dxa"/>
          </w:tblCellMar>
        </w:tblPrEx>
        <w:tc>
          <w:p w14:paraId="0561A3B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个人贷款申请人</w:t>
            </w:r>
          </w:p>
        </w:tc>
        <w:tc>
          <w:p w14:paraId="02A4F29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重要用户类</w:t>
            </w:r>
          </w:p>
        </w:tc>
        <w:tc>
          <w:p w14:paraId="1623E3C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操作简单：申请流程≤5步；2. 反馈及时：申请进度实时查询；3. 隐私保护：数据提交后不被泄露</w:t>
            </w:r>
          </w:p>
        </w:tc>
      </w:tr>
      <w:tr w14:paraId="1EE90030">
        <w:tblPrEx>
          <w:tblCellMar>
            <w:top w:w="0" w:type="dxa"/>
            <w:left w:w="108" w:type="dxa"/>
            <w:bottom w:w="0" w:type="dxa"/>
            <w:right w:w="108" w:type="dxa"/>
          </w:tblCellMar>
        </w:tblPrEx>
        <w:tc>
          <w:p w14:paraId="6183CAC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信贷审核员</w:t>
            </w:r>
          </w:p>
        </w:tc>
        <w:tc>
          <w:p w14:paraId="40C5096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重要用户类</w:t>
            </w:r>
          </w:p>
        </w:tc>
        <w:tc>
          <w:p w14:paraId="3238A5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高效审核：风控报告自动生成，关键风险点高亮；2. 权限清晰：普通审核员仅能查看/提交，主管可审批</w:t>
            </w:r>
          </w:p>
        </w:tc>
      </w:tr>
      <w:tr w14:paraId="73D114E1">
        <w:tblPrEx>
          <w:tblCellMar>
            <w:top w:w="0" w:type="dxa"/>
            <w:left w:w="108" w:type="dxa"/>
            <w:bottom w:w="0" w:type="dxa"/>
            <w:right w:w="108" w:type="dxa"/>
          </w:tblCellMar>
        </w:tblPrEx>
        <w:tc>
          <w:p w14:paraId="7475771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风控模型工程师</w:t>
            </w:r>
          </w:p>
        </w:tc>
        <w:tc>
          <w:p w14:paraId="766A16E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重要用户类</w:t>
            </w:r>
          </w:p>
        </w:tc>
        <w:tc>
          <w:p w14:paraId="24C01F6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模型可配置：支持参数调整（如特征权重）、版本管理；2. 数据可分析：提供历史风控结果回测工具</w:t>
            </w:r>
          </w:p>
        </w:tc>
      </w:tr>
      <w:tr w14:paraId="28E4AE80">
        <w:tblPrEx>
          <w:tblCellMar>
            <w:top w:w="0" w:type="dxa"/>
            <w:left w:w="108" w:type="dxa"/>
            <w:bottom w:w="0" w:type="dxa"/>
            <w:right w:w="108" w:type="dxa"/>
          </w:tblCellMar>
        </w:tblPrEx>
        <w:tc>
          <w:p w14:paraId="5FAC477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系统管理员</w:t>
            </w:r>
          </w:p>
        </w:tc>
        <w:tc>
          <w:p w14:paraId="3D0AC55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重要用户类</w:t>
            </w:r>
          </w:p>
        </w:tc>
        <w:tc>
          <w:p w14:paraId="37E99AA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权限管理：按角色分配功能权限（如数据源配置仅管理员可操作）；2. 运维监控：系统日志、接口状态实时查看</w:t>
            </w:r>
          </w:p>
        </w:tc>
      </w:tr>
      <w:tr w14:paraId="22DA9885">
        <w:tblPrEx>
          <w:tblCellMar>
            <w:top w:w="0" w:type="dxa"/>
            <w:left w:w="108" w:type="dxa"/>
            <w:bottom w:w="0" w:type="dxa"/>
            <w:right w:w="108" w:type="dxa"/>
          </w:tblCellMar>
        </w:tblPrEx>
        <w:tc>
          <w:p w14:paraId="1AA9342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央行征信中心</w:t>
            </w:r>
          </w:p>
        </w:tc>
        <w:tc>
          <w:p w14:paraId="2DB500E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附加用户类</w:t>
            </w:r>
          </w:p>
        </w:tc>
        <w:tc>
          <w:p w14:paraId="150DD7D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接口合规：调用请求符合征信中心规范；2. 数据安全：传输/存储加密，禁止滥用征信数据</w:t>
            </w:r>
          </w:p>
        </w:tc>
      </w:tr>
      <w:tr w14:paraId="598EA20C">
        <w:tblPrEx>
          <w:tblCellMar>
            <w:top w:w="0" w:type="dxa"/>
            <w:left w:w="108" w:type="dxa"/>
            <w:bottom w:w="0" w:type="dxa"/>
            <w:right w:w="108" w:type="dxa"/>
          </w:tblCellMar>
        </w:tblPrEx>
        <w:tc>
          <w:p w14:paraId="4F5A21B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核心信贷系统管理员</w:t>
            </w:r>
          </w:p>
        </w:tc>
        <w:tc>
          <w:p w14:paraId="25A8E03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附加用户类</w:t>
            </w:r>
          </w:p>
        </w:tc>
        <w:tc>
          <w:p w14:paraId="1DD72D7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数据同步：贷款信息（金额/期限/状态）实时同步；2. 异常反馈：放款失败时及时通知本系统</w:t>
            </w:r>
          </w:p>
        </w:tc>
      </w:tr>
      <w:bookmarkEnd w:id="20"/>
    </w:tbl>
    <w:p w14:paraId="501A8601">
      <w:pPr>
        <w:pStyle w:val="8"/>
        <w:rPr>
          <w:rFonts w:hint="eastAsia" w:ascii="宋体" w:hAnsi="宋体" w:eastAsia="宋体" w:cs="宋体"/>
          <w:b w:val="0"/>
          <w:bCs w:val="0"/>
          <w:sz w:val="24"/>
          <w:szCs w:val="24"/>
          <w:lang w:val="en-US" w:eastAsia="zh-CN"/>
        </w:rPr>
      </w:pPr>
      <w:bookmarkStart w:id="21" w:name="X9fcb9d74c89a08e7316a8fd9e4600ab939dd47d"/>
    </w:p>
    <w:p w14:paraId="5CD845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2.4 运行环境</w:t>
      </w:r>
    </w:p>
    <w:p w14:paraId="7C758EB5">
      <w:pPr>
        <w:pStyle w:val="8"/>
        <w:rPr>
          <w:rFonts w:hint="eastAsia" w:ascii="宋体" w:hAnsi="宋体" w:eastAsia="宋体" w:cs="宋体"/>
          <w:b w:val="0"/>
          <w:bCs w:val="0"/>
          <w:sz w:val="24"/>
          <w:szCs w:val="24"/>
          <w:lang w:val="en-US" w:eastAsia="zh-CN"/>
        </w:rPr>
      </w:pPr>
      <w:bookmarkStart w:id="22" w:name="硬件环境"/>
      <w:r>
        <w:rPr>
          <w:rFonts w:hint="eastAsia" w:ascii="宋体" w:hAnsi="宋体" w:eastAsia="宋体" w:cs="宋体"/>
          <w:b w:val="0"/>
          <w:bCs w:val="0"/>
          <w:sz w:val="24"/>
          <w:szCs w:val="24"/>
          <w:lang w:val="en-US" w:eastAsia="zh-CN"/>
        </w:rPr>
        <w:t>硬件环境</w:t>
      </w:r>
    </w:p>
    <w:tbl>
      <w:tblPr>
        <w:tblStyle w:val="49"/>
        <w:tblW w:w="0" w:type="auto"/>
        <w:tblInd w:w="0" w:type="dxa"/>
        <w:tblLayout w:type="autofit"/>
        <w:tblCellMar>
          <w:top w:w="0" w:type="dxa"/>
          <w:left w:w="108" w:type="dxa"/>
          <w:bottom w:w="0" w:type="dxa"/>
          <w:right w:w="108" w:type="dxa"/>
        </w:tblCellMar>
      </w:tblPr>
      <w:tblGrid>
        <w:gridCol w:w="1656"/>
        <w:gridCol w:w="1176"/>
      </w:tblGrid>
      <w:tr w14:paraId="618EC0CB">
        <w:tblPrEx>
          <w:tblCellMar>
            <w:top w:w="0" w:type="dxa"/>
            <w:left w:w="108" w:type="dxa"/>
            <w:bottom w:w="0" w:type="dxa"/>
            <w:right w:w="108" w:type="dxa"/>
          </w:tblCellMar>
        </w:tblPrEx>
        <w:trPr>
          <w:tblHeader/>
        </w:trPr>
        <w:tc>
          <w:p w14:paraId="051D7F8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硬件类型</w:t>
            </w:r>
          </w:p>
        </w:tc>
        <w:tc>
          <w:p w14:paraId="07419FC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配置要求</w:t>
            </w:r>
          </w:p>
        </w:tc>
      </w:tr>
      <w:tr w14:paraId="25AF3964">
        <w:tblPrEx>
          <w:tblCellMar>
            <w:top w:w="0" w:type="dxa"/>
            <w:left w:w="108" w:type="dxa"/>
            <w:bottom w:w="0" w:type="dxa"/>
            <w:right w:w="108" w:type="dxa"/>
          </w:tblCellMar>
        </w:tblPrEx>
        <w:tc>
          <w:p w14:paraId="78DFA96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应用服务器</w:t>
            </w:r>
          </w:p>
        </w:tc>
        <w:tc>
          <w:p w14:paraId="72869D2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暂定</w:t>
            </w:r>
          </w:p>
        </w:tc>
      </w:tr>
      <w:tr w14:paraId="4C8BDB82">
        <w:tblPrEx>
          <w:tblCellMar>
            <w:top w:w="0" w:type="dxa"/>
            <w:left w:w="108" w:type="dxa"/>
            <w:bottom w:w="0" w:type="dxa"/>
            <w:right w:w="108" w:type="dxa"/>
          </w:tblCellMar>
        </w:tblPrEx>
        <w:tc>
          <w:p w14:paraId="131B377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数据库服务器</w:t>
            </w:r>
          </w:p>
        </w:tc>
        <w:tc>
          <w:p w14:paraId="5EAFCFD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暂定</w:t>
            </w:r>
          </w:p>
        </w:tc>
      </w:tr>
      <w:tr w14:paraId="376BAC73">
        <w:tblPrEx>
          <w:tblCellMar>
            <w:top w:w="0" w:type="dxa"/>
            <w:left w:w="108" w:type="dxa"/>
            <w:bottom w:w="0" w:type="dxa"/>
            <w:right w:w="108" w:type="dxa"/>
          </w:tblCellMar>
        </w:tblPrEx>
        <w:tc>
          <w:p w14:paraId="48C988D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缓存服务器</w:t>
            </w:r>
          </w:p>
        </w:tc>
        <w:tc>
          <w:p w14:paraId="1D9BCD3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暂定</w:t>
            </w:r>
          </w:p>
        </w:tc>
      </w:tr>
      <w:tr w14:paraId="02458A5C">
        <w:tblPrEx>
          <w:tblCellMar>
            <w:top w:w="0" w:type="dxa"/>
            <w:left w:w="108" w:type="dxa"/>
            <w:bottom w:w="0" w:type="dxa"/>
            <w:right w:w="108" w:type="dxa"/>
          </w:tblCellMar>
        </w:tblPrEx>
        <w:tc>
          <w:p w14:paraId="390AD17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日志服务器</w:t>
            </w:r>
          </w:p>
        </w:tc>
        <w:tc>
          <w:p w14:paraId="4E97E01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暂定</w:t>
            </w:r>
          </w:p>
        </w:tc>
      </w:tr>
      <w:bookmarkEnd w:id="22"/>
    </w:tbl>
    <w:p w14:paraId="0FB51E3B">
      <w:pPr>
        <w:pStyle w:val="8"/>
        <w:rPr>
          <w:rFonts w:hint="eastAsia" w:ascii="宋体" w:hAnsi="宋体" w:eastAsia="宋体" w:cs="宋体"/>
          <w:b w:val="0"/>
          <w:bCs w:val="0"/>
          <w:sz w:val="24"/>
          <w:szCs w:val="24"/>
          <w:lang w:val="en-US" w:eastAsia="zh-CN"/>
        </w:rPr>
      </w:pPr>
      <w:bookmarkStart w:id="23" w:name="软件环境"/>
    </w:p>
    <w:p w14:paraId="45A1959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软件环境</w:t>
      </w:r>
    </w:p>
    <w:tbl>
      <w:tblPr>
        <w:tblStyle w:val="49"/>
        <w:tblW w:w="0" w:type="auto"/>
        <w:tblInd w:w="0" w:type="dxa"/>
        <w:tblLayout w:type="autofit"/>
        <w:tblCellMar>
          <w:top w:w="0" w:type="dxa"/>
          <w:left w:w="108" w:type="dxa"/>
          <w:bottom w:w="0" w:type="dxa"/>
          <w:right w:w="108" w:type="dxa"/>
        </w:tblCellMar>
      </w:tblPr>
      <w:tblGrid>
        <w:gridCol w:w="961"/>
        <w:gridCol w:w="7753"/>
      </w:tblGrid>
      <w:tr w14:paraId="449AD57B">
        <w:tblPrEx>
          <w:tblCellMar>
            <w:top w:w="0" w:type="dxa"/>
            <w:left w:w="108" w:type="dxa"/>
            <w:bottom w:w="0" w:type="dxa"/>
            <w:right w:w="108" w:type="dxa"/>
          </w:tblCellMar>
        </w:tblPrEx>
        <w:trPr>
          <w:tblHeader/>
        </w:trPr>
        <w:tc>
          <w:p w14:paraId="70702C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软件类型</w:t>
            </w:r>
          </w:p>
        </w:tc>
        <w:tc>
          <w:p w14:paraId="2FF03CA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版本要求</w:t>
            </w:r>
          </w:p>
        </w:tc>
      </w:tr>
      <w:tr w14:paraId="5D503B83">
        <w:tblPrEx>
          <w:tblCellMar>
            <w:top w:w="0" w:type="dxa"/>
            <w:left w:w="108" w:type="dxa"/>
            <w:bottom w:w="0" w:type="dxa"/>
            <w:right w:w="108" w:type="dxa"/>
          </w:tblCellMar>
        </w:tblPrEx>
        <w:tc>
          <w:p w14:paraId="0A1EE5C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操作系统</w:t>
            </w:r>
          </w:p>
        </w:tc>
        <w:tc>
          <w:p w14:paraId="40AAB0A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服务器端：CentOS 7.9（64位）；客户端（审核员）：Windows 10/11、macOS 12+?</w:t>
            </w:r>
          </w:p>
        </w:tc>
      </w:tr>
      <w:tr w14:paraId="68FFBADC">
        <w:tblPrEx>
          <w:tblCellMar>
            <w:top w:w="0" w:type="dxa"/>
            <w:left w:w="108" w:type="dxa"/>
            <w:bottom w:w="0" w:type="dxa"/>
            <w:right w:w="108" w:type="dxa"/>
          </w:tblCellMar>
        </w:tblPrEx>
        <w:tc>
          <w:p w14:paraId="50AD3FE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数据库</w:t>
            </w:r>
          </w:p>
        </w:tc>
        <w:tc>
          <w:p w14:paraId="3C2628E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MySQL 8.0（支持JSON格式，适配多源数据存储），MongoDB 5.0（存储非结构化日志）</w:t>
            </w:r>
          </w:p>
        </w:tc>
      </w:tr>
      <w:tr w14:paraId="4F233F4E">
        <w:tblPrEx>
          <w:tblCellMar>
            <w:top w:w="0" w:type="dxa"/>
            <w:left w:w="108" w:type="dxa"/>
            <w:bottom w:w="0" w:type="dxa"/>
            <w:right w:w="108" w:type="dxa"/>
          </w:tblCellMar>
        </w:tblPrEx>
        <w:tc>
          <w:p w14:paraId="7E91A99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中间件</w:t>
            </w:r>
          </w:p>
        </w:tc>
        <w:tc>
          <w:p w14:paraId="2685808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Redis 6.2（缓存高频查询数据，如风控模型参数），RabbitMQ 3.11（异步处理，如放款指令）</w:t>
            </w:r>
          </w:p>
        </w:tc>
      </w:tr>
      <w:tr w14:paraId="35305BD1">
        <w:tblPrEx>
          <w:tblCellMar>
            <w:top w:w="0" w:type="dxa"/>
            <w:left w:w="108" w:type="dxa"/>
            <w:bottom w:w="0" w:type="dxa"/>
            <w:right w:w="108" w:type="dxa"/>
          </w:tblCellMar>
        </w:tblPrEx>
        <w:tc>
          <w:p w14:paraId="060C8DE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支撑软件</w:t>
            </w:r>
          </w:p>
        </w:tc>
        <w:tc>
          <w:p w14:paraId="3A0DFF1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Elasticsearch 7.14（日志检索），MinIO 2023.04（存储申请人上传的OCR图片）</w:t>
            </w:r>
          </w:p>
        </w:tc>
      </w:tr>
      <w:tr w14:paraId="34220108">
        <w:tblPrEx>
          <w:tblCellMar>
            <w:top w:w="0" w:type="dxa"/>
            <w:left w:w="108" w:type="dxa"/>
            <w:bottom w:w="0" w:type="dxa"/>
            <w:right w:w="108" w:type="dxa"/>
          </w:tblCellMar>
        </w:tblPrEx>
        <w:tc>
          <w:p w14:paraId="2BE9EF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共存应用</w:t>
            </w:r>
          </w:p>
        </w:tc>
        <w:tc>
          <w:p w14:paraId="6353BB1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金融机构核心信贷系统（V5.0及以上）、OA系统（钉钉/企业微信接口兼容）</w:t>
            </w:r>
          </w:p>
        </w:tc>
      </w:tr>
      <w:bookmarkEnd w:id="21"/>
      <w:bookmarkEnd w:id="23"/>
    </w:tbl>
    <w:p w14:paraId="35DFE83A">
      <w:pPr>
        <w:pStyle w:val="8"/>
        <w:rPr>
          <w:rFonts w:hint="eastAsia" w:ascii="宋体" w:hAnsi="宋体" w:eastAsia="宋体" w:cs="宋体"/>
          <w:b w:val="0"/>
          <w:bCs w:val="0"/>
          <w:sz w:val="24"/>
          <w:szCs w:val="24"/>
          <w:lang w:val="en-US" w:eastAsia="zh-CN"/>
        </w:rPr>
      </w:pPr>
      <w:bookmarkStart w:id="24" w:name="X468211b21945ad6255b8cd11c39fe5fa2975cc7"/>
    </w:p>
    <w:p w14:paraId="3C66BE8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2.5 设计和实现上的限制</w:t>
      </w:r>
    </w:p>
    <w:p w14:paraId="279D93A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合规限制：</w:t>
      </w:r>
    </w:p>
    <w:p w14:paraId="440445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所有外部数据源的调用必须在获取申请人明确授权后进行，前端需清晰展示授权协议并由用户主动确认；</w:t>
      </w:r>
    </w:p>
    <w:p w14:paraId="0220956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涉及个人敏感信息（如征信详情、银行卡号等）的存储必须符合《个人信息保护法》要求，采用国密SM4算法进行加密，严禁明文存储；</w:t>
      </w:r>
    </w:p>
    <w:p w14:paraId="639EE3A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技术限制：</w:t>
      </w:r>
    </w:p>
    <w:p w14:paraId="6AF0B4A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开发语言必须使用Java（金融行业主流，便于后续维护），框架采用Spring Boot 3.4.10、Spring Cloud Alibaba；</w:t>
      </w:r>
    </w:p>
    <w:p w14:paraId="4F828FD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禁止使用HTTP、FTP等非加密传输协议，所有接口（含内部/外部）必须使用HTTPS+SM3签名；</w:t>
      </w:r>
    </w:p>
    <w:p w14:paraId="5463F7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数据库需支持“读写分离”，避免单库压力过大导致系统卡顿；</w:t>
      </w:r>
    </w:p>
    <w:p w14:paraId="32C05D6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标准限制：</w:t>
      </w:r>
    </w:p>
    <w:p w14:paraId="56822B3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系统需遵循金融行业网络安全等级保护2.0第三级标准要求，并最终通过正式测评；</w:t>
      </w:r>
    </w:p>
    <w:p w14:paraId="474AE3C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接口文档需符合RESTful规范，便于第三方系统对接；</w:t>
      </w:r>
    </w:p>
    <w:p w14:paraId="74ED54D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硬件限制：</w:t>
      </w:r>
    </w:p>
    <w:p w14:paraId="2B98E7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受外部数据源性能影响，数据调用接口的超时时间阈值应设定为3秒，并需在设计中包含超时与重试机制；</w:t>
      </w:r>
    </w:p>
    <w:p w14:paraId="407840C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单台应用服务器需具备不低于 500 QPS 的并发处理能力，此项需通过压力测试进行验证。</w:t>
      </w:r>
    </w:p>
    <w:bookmarkEnd w:id="24"/>
    <w:p w14:paraId="4E644FB1">
      <w:pPr>
        <w:pStyle w:val="8"/>
        <w:rPr>
          <w:rFonts w:hint="eastAsia" w:ascii="宋体" w:hAnsi="宋体" w:eastAsia="宋体" w:cs="宋体"/>
          <w:b w:val="0"/>
          <w:bCs w:val="0"/>
          <w:sz w:val="24"/>
          <w:szCs w:val="24"/>
          <w:lang w:val="en-US" w:eastAsia="zh-CN"/>
        </w:rPr>
      </w:pPr>
      <w:bookmarkStart w:id="25" w:name="Xe7b9a3b72c615c4cb5af8b547b5da8d0bfd5e8c"/>
      <w:r>
        <w:rPr>
          <w:rFonts w:hint="eastAsia" w:ascii="宋体" w:hAnsi="宋体" w:eastAsia="宋体" w:cs="宋体"/>
          <w:b w:val="0"/>
          <w:bCs w:val="0"/>
          <w:sz w:val="24"/>
          <w:szCs w:val="24"/>
          <w:lang w:val="en-US" w:eastAsia="zh-CN"/>
        </w:rPr>
        <w:t>2.6 假设和约束(依赖)</w:t>
      </w:r>
    </w:p>
    <w:p w14:paraId="5FFFC4B7">
      <w:pPr>
        <w:pStyle w:val="8"/>
        <w:rPr>
          <w:rFonts w:hint="eastAsia" w:ascii="宋体" w:hAnsi="宋体" w:eastAsia="宋体" w:cs="宋体"/>
          <w:b w:val="0"/>
          <w:bCs w:val="0"/>
          <w:sz w:val="24"/>
          <w:szCs w:val="24"/>
          <w:lang w:val="en-US" w:eastAsia="zh-CN"/>
        </w:rPr>
      </w:pPr>
      <w:bookmarkStart w:id="26" w:name="假设因素"/>
      <w:r>
        <w:rPr>
          <w:rFonts w:hint="eastAsia" w:ascii="宋体" w:hAnsi="宋体" w:eastAsia="宋体" w:cs="宋体"/>
          <w:b w:val="0"/>
          <w:bCs w:val="0"/>
          <w:sz w:val="24"/>
          <w:szCs w:val="24"/>
          <w:lang w:val="en-US" w:eastAsia="zh-CN"/>
        </w:rPr>
        <w:t>假设因素</w:t>
      </w:r>
    </w:p>
    <w:p w14:paraId="2CE00E4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本项目基于以下关键假设进行规划和推进，若以下任一假设不成立，可能对项目范围、进度或成本产生影响：</w:t>
      </w:r>
    </w:p>
    <w:p w14:paraId="46B4902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关键的第三方数据服务（如央行征信、芝麻信用等）需具备不低于99.9%的可用性，并在服务中断后1小时内启动故障响应流程；</w:t>
      </w:r>
    </w:p>
    <w:p w14:paraId="708CD72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系统默认申请人所提交的个人基础信息（如身份证号、手机号）真实有效。系统仅进行格式与逻辑校验，其真实性核验依赖于与权威机构（如公安部门）的数据接口；</w:t>
      </w:r>
    </w:p>
    <w:p w14:paraId="604925B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项目实施方（金融机构）或者开发人员能够搜寻不少于10万条高质量、合规的历史贷款数据样本，用于支撑风控模型的训练、验证与回测工作；</w:t>
      </w:r>
    </w:p>
    <w:p w14:paraId="13DC9B2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项目启动开发前，金融机构应已完成与所有必需第三方数据源服务商的法律与商务签约，确保项目团队在需要时具备合法的接口调用权限。</w:t>
      </w:r>
    </w:p>
    <w:bookmarkEnd w:id="26"/>
    <w:p w14:paraId="14D15DF8">
      <w:pPr>
        <w:pStyle w:val="8"/>
        <w:rPr>
          <w:rFonts w:hint="eastAsia" w:ascii="宋体" w:hAnsi="宋体" w:eastAsia="宋体" w:cs="宋体"/>
          <w:b w:val="0"/>
          <w:bCs w:val="0"/>
          <w:sz w:val="24"/>
          <w:szCs w:val="24"/>
          <w:lang w:val="en-US" w:eastAsia="zh-CN"/>
        </w:rPr>
      </w:pPr>
      <w:bookmarkStart w:id="27" w:name="外部依赖"/>
      <w:r>
        <w:rPr>
          <w:rFonts w:hint="eastAsia" w:ascii="宋体" w:hAnsi="宋体" w:eastAsia="宋体" w:cs="宋体"/>
          <w:b w:val="0"/>
          <w:bCs w:val="0"/>
          <w:sz w:val="24"/>
          <w:szCs w:val="24"/>
          <w:lang w:val="en-US" w:eastAsia="zh-CN"/>
        </w:rPr>
        <w:t>外部依赖</w:t>
      </w:r>
    </w:p>
    <w:p w14:paraId="05BD56E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本项目的成功实施依赖于以下外部条件与资源，任何一项的延迟或缺失都将直接影响项目进度：</w:t>
      </w:r>
    </w:p>
    <w:p w14:paraId="6F2B24F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工期约束：项目总体开发周期（含需求、开发、测试与上线）不超过14个月，计划于2026年12月31日前完成正式投产；</w:t>
      </w:r>
    </w:p>
    <w:p w14:paraId="037F8DF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人员约束：项目团队需配备足够数量且具备金融风控系统开发经验的技术人员，以及熟悉金融行业安全规范的测试人员；</w:t>
      </w:r>
    </w:p>
    <w:p w14:paraId="64700C3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资源约束：金融机构需及时提供包括央行征信接口权限、核心信贷系统技术文档在内的关键资源，并在测试阶段开放稳定的测试环境；</w:t>
      </w:r>
    </w:p>
    <w:p w14:paraId="608816D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政策约束：项目设计需具备一定的监管适应性。若相关金融监管政策发生重大调整，项目方承诺在15个工作日内评估影响并启动系统适应性改造。</w:t>
      </w:r>
    </w:p>
    <w:bookmarkEnd w:id="25"/>
    <w:bookmarkEnd w:id="27"/>
    <w:p w14:paraId="67E7B864">
      <w:pPr>
        <w:pStyle w:val="8"/>
        <w:rPr>
          <w:rFonts w:hint="eastAsia" w:ascii="宋体" w:hAnsi="宋体" w:eastAsia="宋体" w:cs="宋体"/>
          <w:b w:val="0"/>
          <w:bCs w:val="0"/>
          <w:sz w:val="24"/>
          <w:szCs w:val="24"/>
          <w:lang w:val="en-US" w:eastAsia="zh-CN"/>
        </w:rPr>
      </w:pPr>
      <w:bookmarkStart w:id="28" w:name="X7ab87bcfdaefa88fbb4af1caef82c5ff6833fae"/>
      <w:r>
        <w:rPr>
          <w:rFonts w:hint="eastAsia" w:ascii="宋体" w:hAnsi="宋体" w:eastAsia="宋体" w:cs="宋体"/>
          <w:b w:val="0"/>
          <w:bCs w:val="0"/>
          <w:sz w:val="24"/>
          <w:szCs w:val="24"/>
          <w:lang w:val="en-US" w:eastAsia="zh-CN"/>
        </w:rPr>
        <w:t>3. 外部接口需求</w:t>
      </w:r>
    </w:p>
    <w:p w14:paraId="59B7A9DA">
      <w:pPr>
        <w:pStyle w:val="8"/>
        <w:rPr>
          <w:rFonts w:hint="eastAsia" w:ascii="宋体" w:hAnsi="宋体" w:eastAsia="宋体" w:cs="宋体"/>
          <w:b w:val="0"/>
          <w:bCs w:val="0"/>
          <w:sz w:val="24"/>
          <w:szCs w:val="24"/>
          <w:lang w:val="en-US" w:eastAsia="zh-CN"/>
        </w:rPr>
      </w:pPr>
      <w:bookmarkStart w:id="29" w:name="Xa854802a750484199f66c6450f8ad3d569fd6df"/>
      <w:r>
        <w:rPr>
          <w:rFonts w:hint="eastAsia" w:ascii="宋体" w:hAnsi="宋体" w:eastAsia="宋体" w:cs="宋体"/>
          <w:b w:val="0"/>
          <w:bCs w:val="0"/>
          <w:sz w:val="24"/>
          <w:szCs w:val="24"/>
          <w:lang w:val="en-US" w:eastAsia="zh-CN"/>
        </w:rPr>
        <w:t>3.1 用户界面</w:t>
      </w:r>
    </w:p>
    <w:p w14:paraId="4B806D55">
      <w:pPr>
        <w:pStyle w:val="8"/>
        <w:rPr>
          <w:rFonts w:hint="eastAsia" w:ascii="宋体" w:hAnsi="宋体" w:eastAsia="宋体" w:cs="宋体"/>
          <w:b w:val="0"/>
          <w:bCs w:val="0"/>
          <w:sz w:val="24"/>
          <w:szCs w:val="24"/>
          <w:lang w:val="en-US" w:eastAsia="zh-CN"/>
        </w:rPr>
      </w:pPr>
      <w:bookmarkStart w:id="30" w:name="Xd1e1aba22735ced998c52cf580494e2c7007fd2"/>
      <w:r>
        <w:rPr>
          <w:rFonts w:hint="eastAsia" w:ascii="宋体" w:hAnsi="宋体" w:eastAsia="宋体" w:cs="宋体"/>
          <w:b w:val="0"/>
          <w:bCs w:val="0"/>
          <w:sz w:val="24"/>
          <w:szCs w:val="24"/>
          <w:lang w:val="en-US" w:eastAsia="zh-CN"/>
        </w:rPr>
        <w:t>1. 设计标准</w:t>
      </w:r>
    </w:p>
    <w:p w14:paraId="430C6B6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遵循金融行业“简洁、严谨、安全”风格，主色调采用深蓝色（#003366），辅助色为浅灰色（#F5F7FA），禁止使用高饱和度色彩；</w:t>
      </w:r>
    </w:p>
    <w:p w14:paraId="55C08C9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前端适配：申请人端支持H5（适配手机分辨率360*640至1080*1920）、APP（Android 9+）；审核员端支持PC端（分辨率1366*768及以上），兼容Chrome 90+、Edge 90+浏览器。</w:t>
      </w:r>
    </w:p>
    <w:p w14:paraId="2CAA96E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明确字体规范，建议正文使用微软雅黑或思源黑体，字号：申请人端≥14px，审核员端≥12px，避免因字体或字号问题导致信息误读</w:t>
      </w:r>
    </w:p>
    <w:bookmarkEnd w:id="30"/>
    <w:p w14:paraId="72BEC810">
      <w:pPr>
        <w:pStyle w:val="8"/>
        <w:rPr>
          <w:rFonts w:hint="eastAsia" w:ascii="宋体" w:hAnsi="宋体" w:eastAsia="宋体" w:cs="宋体"/>
          <w:b w:val="0"/>
          <w:bCs w:val="0"/>
          <w:sz w:val="24"/>
          <w:szCs w:val="24"/>
          <w:lang w:val="en-US" w:eastAsia="zh-CN"/>
        </w:rPr>
      </w:pPr>
      <w:bookmarkStart w:id="31" w:name="X4d46044e9ec77cddb26cce0434e441dce145322"/>
      <w:r>
        <w:rPr>
          <w:rFonts w:hint="eastAsia" w:ascii="宋体" w:hAnsi="宋体" w:eastAsia="宋体" w:cs="宋体"/>
          <w:b w:val="0"/>
          <w:bCs w:val="0"/>
          <w:sz w:val="24"/>
          <w:szCs w:val="24"/>
          <w:lang w:val="en-US" w:eastAsia="zh-CN"/>
        </w:rPr>
        <w:t>2. 核心界面逻辑特征</w:t>
      </w:r>
    </w:p>
    <w:tbl>
      <w:tblPr>
        <w:tblStyle w:val="49"/>
        <w:tblW w:w="0" w:type="auto"/>
        <w:tblInd w:w="0" w:type="dxa"/>
        <w:tblLayout w:type="autofit"/>
        <w:tblCellMar>
          <w:top w:w="0" w:type="dxa"/>
          <w:left w:w="108" w:type="dxa"/>
          <w:bottom w:w="0" w:type="dxa"/>
          <w:right w:w="108" w:type="dxa"/>
        </w:tblCellMar>
      </w:tblPr>
      <w:tblGrid>
        <w:gridCol w:w="884"/>
        <w:gridCol w:w="7830"/>
      </w:tblGrid>
      <w:tr w14:paraId="60CDB43B">
        <w:tblPrEx>
          <w:tblCellMar>
            <w:top w:w="0" w:type="dxa"/>
            <w:left w:w="108" w:type="dxa"/>
            <w:bottom w:w="0" w:type="dxa"/>
            <w:right w:w="108" w:type="dxa"/>
          </w:tblCellMar>
        </w:tblPrEx>
        <w:trPr>
          <w:tblHeader/>
        </w:trPr>
        <w:tc>
          <w:p w14:paraId="72B728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界面类型</w:t>
            </w:r>
          </w:p>
        </w:tc>
        <w:tc>
          <w:p w14:paraId="62CD929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逻辑特征描述</w:t>
            </w:r>
          </w:p>
        </w:tc>
      </w:tr>
      <w:tr w14:paraId="7245B6AB">
        <w:tblPrEx>
          <w:tblCellMar>
            <w:top w:w="0" w:type="dxa"/>
            <w:left w:w="108" w:type="dxa"/>
            <w:bottom w:w="0" w:type="dxa"/>
            <w:right w:w="108" w:type="dxa"/>
          </w:tblCellMar>
        </w:tblPrEx>
        <w:tc>
          <w:p w14:paraId="49DAAFB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申请人注册登录界面</w:t>
            </w:r>
          </w:p>
        </w:tc>
        <w:tc>
          <w:p w14:paraId="31D369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支持手机号+短信验证码登录，密码登录需满足“8-16位字母+数字+特殊字符”；2. 登录失败≥5次锁定账号1小时；3.找回密码需通过 “手机号验证码 + 身份验证” 双重校验</w:t>
            </w:r>
          </w:p>
        </w:tc>
      </w:tr>
      <w:tr w14:paraId="631A516F">
        <w:tblPrEx>
          <w:tblCellMar>
            <w:top w:w="0" w:type="dxa"/>
            <w:left w:w="108" w:type="dxa"/>
            <w:bottom w:w="0" w:type="dxa"/>
            <w:right w:w="108" w:type="dxa"/>
          </w:tblCellMar>
        </w:tblPrEx>
        <w:tc>
          <w:p w14:paraId="7826CD2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贷款申请界面</w:t>
            </w:r>
          </w:p>
        </w:tc>
        <w:tc>
          <w:p w14:paraId="047EC45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分步骤引导（基本信息→贷款参数→资料上传→授权协议），每步完成后自动保存草稿；2. OCR识别身份证/银行卡，自动填充信息，减少手动输入；3.“资料预览” 功能，方便申请人确认上传内容是否清晰；4.资料上传格式 / 大小限制，如身份证照片仅支持 JPG/PNG 格式，单张大小≤5MB</w:t>
            </w:r>
          </w:p>
        </w:tc>
      </w:tr>
      <w:tr w14:paraId="381E0184">
        <w:tblPrEx>
          <w:tblCellMar>
            <w:top w:w="0" w:type="dxa"/>
            <w:left w:w="108" w:type="dxa"/>
            <w:bottom w:w="0" w:type="dxa"/>
            <w:right w:w="108" w:type="dxa"/>
          </w:tblCellMar>
        </w:tblPrEx>
        <w:tc>
          <w:p w14:paraId="291D6C5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审核员工作台界面</w:t>
            </w:r>
          </w:p>
        </w:tc>
        <w:tc>
          <w:p w14:paraId="6239321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三栏布局：左侧“待办列表”（按申请时间倒序）、中间“风控详情”（风险评分、核心风险点高亮）、右侧“审批操作”（通过/拒绝/退回，需填写理由）；2. 支持按申请人姓名/身份证号搜索历史申请</w:t>
            </w:r>
          </w:p>
        </w:tc>
      </w:tr>
      <w:tr w14:paraId="264E6EE8">
        <w:tblPrEx>
          <w:tblCellMar>
            <w:top w:w="0" w:type="dxa"/>
            <w:left w:w="108" w:type="dxa"/>
            <w:bottom w:w="0" w:type="dxa"/>
            <w:right w:w="108" w:type="dxa"/>
          </w:tblCellMar>
        </w:tblPrEx>
        <w:tc>
          <w:p w14:paraId="3C82210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风控模型管理界面</w:t>
            </w:r>
          </w:p>
        </w:tc>
        <w:tc>
          <w:p w14:paraId="3142AC8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模型列表展示（版本号、上线时间、回测准确率）；2. 参数调整支持“可视化滑块”（如风险阈值500-700可调），调整后需“双人审批”生效</w:t>
            </w:r>
          </w:p>
        </w:tc>
      </w:tr>
      <w:bookmarkEnd w:id="31"/>
    </w:tbl>
    <w:p w14:paraId="0195ADB4">
      <w:pPr>
        <w:pStyle w:val="8"/>
        <w:rPr>
          <w:rFonts w:hint="eastAsia" w:ascii="宋体" w:hAnsi="宋体" w:eastAsia="宋体" w:cs="宋体"/>
          <w:b w:val="0"/>
          <w:bCs w:val="0"/>
          <w:sz w:val="24"/>
          <w:szCs w:val="24"/>
          <w:lang w:val="en-US" w:eastAsia="zh-CN"/>
        </w:rPr>
      </w:pPr>
      <w:bookmarkStart w:id="32" w:name="X3d3bcf401ffb19574bacb04a1ecefb650e74578"/>
      <w:r>
        <w:rPr>
          <w:rFonts w:hint="eastAsia" w:ascii="宋体" w:hAnsi="宋体" w:eastAsia="宋体" w:cs="宋体"/>
          <w:b w:val="0"/>
          <w:bCs w:val="0"/>
          <w:sz w:val="24"/>
          <w:szCs w:val="24"/>
          <w:lang w:val="en-US" w:eastAsia="zh-CN"/>
        </w:rPr>
        <w:t>3. 显示与交互规范</w:t>
      </w:r>
    </w:p>
    <w:p w14:paraId="7BE9A81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数字格式：贷款金额保留2位小数（如10,000.00元），利率显示为百分比（如4.85%）；</w:t>
      </w:r>
    </w:p>
    <w:p w14:paraId="09D2377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日期格式：统一使用“YYYY-MM-DD”（如2024-05-20），时间格式为“YYYY-MM-DD HH:MM:SS”；</w:t>
      </w:r>
    </w:p>
    <w:p w14:paraId="0C64F45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错误信息：明确提示原因（如“银行卡号格式错误，请输入16-19位数字”），禁止模糊提示（如“参数错误”）；</w:t>
      </w:r>
    </w:p>
    <w:p w14:paraId="148FE1D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bookmarkEnd w:id="29"/>
    <w:bookmarkEnd w:id="32"/>
    <w:p w14:paraId="1A6EDE38">
      <w:pPr>
        <w:pStyle w:val="8"/>
        <w:rPr>
          <w:rFonts w:hint="eastAsia" w:ascii="宋体" w:hAnsi="宋体" w:eastAsia="宋体" w:cs="宋体"/>
          <w:b w:val="0"/>
          <w:bCs w:val="0"/>
          <w:sz w:val="24"/>
          <w:szCs w:val="24"/>
          <w:lang w:val="en-US" w:eastAsia="zh-CN"/>
        </w:rPr>
      </w:pPr>
      <w:bookmarkStart w:id="33" w:name="X172efa9ee90fe7d93359ce5773d23dd49ef100b"/>
      <w:r>
        <w:rPr>
          <w:rFonts w:hint="eastAsia" w:ascii="宋体" w:hAnsi="宋体" w:eastAsia="宋体" w:cs="宋体"/>
          <w:b w:val="0"/>
          <w:bCs w:val="0"/>
          <w:sz w:val="24"/>
          <w:szCs w:val="24"/>
          <w:lang w:val="en-US" w:eastAsia="zh-CN"/>
        </w:rPr>
        <w:t>3.2 硬件接口</w:t>
      </w:r>
    </w:p>
    <w:p w14:paraId="7412AD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本系统无直接硬件接口（基于云服务器部署），仅通过云服务商API间接调用硬件资源，核心接口如下：</w:t>
      </w:r>
    </w:p>
    <w:tbl>
      <w:tblPr>
        <w:tblStyle w:val="49"/>
        <w:tblW w:w="0" w:type="auto"/>
        <w:tblInd w:w="0" w:type="dxa"/>
        <w:tblLayout w:type="autofit"/>
        <w:tblCellMar>
          <w:top w:w="0" w:type="dxa"/>
          <w:left w:w="108" w:type="dxa"/>
          <w:bottom w:w="0" w:type="dxa"/>
          <w:right w:w="108" w:type="dxa"/>
        </w:tblCellMar>
      </w:tblPr>
      <w:tblGrid>
        <w:gridCol w:w="851"/>
        <w:gridCol w:w="7863"/>
      </w:tblGrid>
      <w:tr w14:paraId="2A0A1C7A">
        <w:tblPrEx>
          <w:tblCellMar>
            <w:top w:w="0" w:type="dxa"/>
            <w:left w:w="108" w:type="dxa"/>
            <w:bottom w:w="0" w:type="dxa"/>
            <w:right w:w="108" w:type="dxa"/>
          </w:tblCellMar>
        </w:tblPrEx>
        <w:trPr>
          <w:tblHeader/>
        </w:trPr>
        <w:tc>
          <w:p w14:paraId="6BAFEBA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硬件资源</w:t>
            </w:r>
          </w:p>
        </w:tc>
        <w:tc>
          <w:p w14:paraId="3DA805C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接口特征描述</w:t>
            </w:r>
          </w:p>
        </w:tc>
      </w:tr>
      <w:tr w14:paraId="0FB6ABAF">
        <w:tblPrEx>
          <w:tblCellMar>
            <w:top w:w="0" w:type="dxa"/>
            <w:left w:w="108" w:type="dxa"/>
            <w:bottom w:w="0" w:type="dxa"/>
            <w:right w:w="108" w:type="dxa"/>
          </w:tblCellMar>
        </w:tblPrEx>
        <w:tc>
          <w:p w14:paraId="607C02A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阿里云ECS</w:t>
            </w:r>
          </w:p>
        </w:tc>
        <w:tc>
          <w:p w14:paraId="04FA25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接口类型：REST API；2. 交互数据：实例启停指令、CPU/内存使用率监控数据；3. 通讯协议：HTTPS；4. 权限控制：AccessKey+SecretKey签名</w:t>
            </w:r>
          </w:p>
        </w:tc>
      </w:tr>
      <w:tr w14:paraId="4FF45AAB">
        <w:tblPrEx>
          <w:tblCellMar>
            <w:top w:w="0" w:type="dxa"/>
            <w:left w:w="108" w:type="dxa"/>
            <w:bottom w:w="0" w:type="dxa"/>
            <w:right w:w="108" w:type="dxa"/>
          </w:tblCellMar>
        </w:tblPrEx>
        <w:tc>
          <w:p w14:paraId="65CF3DD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阿里云RDS</w:t>
            </w:r>
          </w:p>
        </w:tc>
        <w:tc>
          <w:p w14:paraId="3E54CEF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接口类型：JDBC接口；2. 交互数据：SQL查询/更新指令、数据库连接状态；3. 通讯协议：TCP/IP（加密传输）；4. 连接池配置：初始连接数10，最大连接数50</w:t>
            </w:r>
          </w:p>
        </w:tc>
      </w:tr>
      <w:tr w14:paraId="3367603D">
        <w:tblPrEx>
          <w:tblCellMar>
            <w:top w:w="0" w:type="dxa"/>
            <w:left w:w="108" w:type="dxa"/>
            <w:bottom w:w="0" w:type="dxa"/>
            <w:right w:w="108" w:type="dxa"/>
          </w:tblCellMar>
        </w:tblPrEx>
        <w:tc>
          <w:p w14:paraId="7A4F1F0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阿里云SLS</w:t>
            </w:r>
          </w:p>
        </w:tc>
        <w:tc>
          <w:p w14:paraId="2B49880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接口类型：SDK接口；2. 交互数据：日志写入/查询指令、日志存储容量；3. 通讯协议：HTTPS；4. 日志格式：JSON（含时间戳、模块名、日志级别）</w:t>
            </w:r>
          </w:p>
        </w:tc>
      </w:tr>
      <w:bookmarkEnd w:id="33"/>
    </w:tbl>
    <w:p w14:paraId="290744D2">
      <w:pPr>
        <w:pStyle w:val="8"/>
        <w:rPr>
          <w:rFonts w:hint="eastAsia" w:ascii="宋体" w:hAnsi="宋体" w:eastAsia="宋体" w:cs="宋体"/>
          <w:b w:val="0"/>
          <w:bCs w:val="0"/>
          <w:sz w:val="24"/>
          <w:szCs w:val="24"/>
          <w:lang w:val="en-US" w:eastAsia="zh-CN"/>
        </w:rPr>
      </w:pPr>
      <w:bookmarkStart w:id="34" w:name="X1864c9331b20cfdc32bd8ea64c8d48db39cd355"/>
      <w:r>
        <w:rPr>
          <w:rFonts w:hint="eastAsia" w:ascii="宋体" w:hAnsi="宋体" w:eastAsia="宋体" w:cs="宋体"/>
          <w:b w:val="0"/>
          <w:bCs w:val="0"/>
          <w:sz w:val="24"/>
          <w:szCs w:val="24"/>
          <w:lang w:val="en-US" w:eastAsia="zh-CN"/>
        </w:rPr>
        <w:t>3.3 软件接口</w:t>
      </w:r>
    </w:p>
    <w:p w14:paraId="3F204045">
      <w:pPr>
        <w:pStyle w:val="8"/>
        <w:rPr>
          <w:rFonts w:hint="eastAsia" w:ascii="宋体" w:hAnsi="宋体" w:eastAsia="宋体" w:cs="宋体"/>
          <w:b w:val="0"/>
          <w:bCs w:val="0"/>
          <w:sz w:val="24"/>
          <w:szCs w:val="24"/>
          <w:lang w:val="en-US" w:eastAsia="zh-CN"/>
        </w:rPr>
      </w:pPr>
      <w:bookmarkStart w:id="35" w:name="Xa48b113d898cc00a6976b27c30b10dceb1a71b9"/>
      <w:r>
        <w:rPr>
          <w:rFonts w:hint="eastAsia" w:ascii="宋体" w:hAnsi="宋体" w:eastAsia="宋体" w:cs="宋体"/>
          <w:b w:val="0"/>
          <w:bCs w:val="0"/>
          <w:sz w:val="24"/>
          <w:szCs w:val="24"/>
          <w:lang w:val="en-US" w:eastAsia="zh-CN"/>
        </w:rPr>
        <w:t>1. 外部数据源接口</w:t>
      </w:r>
    </w:p>
    <w:tbl>
      <w:tblPr>
        <w:tblStyle w:val="49"/>
        <w:tblW w:w="0" w:type="auto"/>
        <w:tblInd w:w="0" w:type="dxa"/>
        <w:tblLayout w:type="autofit"/>
        <w:tblCellMar>
          <w:top w:w="0" w:type="dxa"/>
          <w:left w:w="108" w:type="dxa"/>
          <w:bottom w:w="0" w:type="dxa"/>
          <w:right w:w="108" w:type="dxa"/>
        </w:tblCellMar>
      </w:tblPr>
      <w:tblGrid>
        <w:gridCol w:w="908"/>
        <w:gridCol w:w="696"/>
        <w:gridCol w:w="3445"/>
        <w:gridCol w:w="901"/>
        <w:gridCol w:w="1022"/>
        <w:gridCol w:w="1742"/>
      </w:tblGrid>
      <w:tr w14:paraId="4592C794">
        <w:tblPrEx>
          <w:tblCellMar>
            <w:top w:w="0" w:type="dxa"/>
            <w:left w:w="108" w:type="dxa"/>
            <w:bottom w:w="0" w:type="dxa"/>
            <w:right w:w="108" w:type="dxa"/>
          </w:tblCellMar>
        </w:tblPrEx>
        <w:trPr>
          <w:tblHeader/>
        </w:trPr>
        <w:tc>
          <w:p w14:paraId="118CC83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接口名称</w:t>
            </w:r>
          </w:p>
        </w:tc>
        <w:tc>
          <w:p w14:paraId="66BE14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版本</w:t>
            </w:r>
          </w:p>
        </w:tc>
        <w:tc>
          <w:p w14:paraId="003B11A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交互数据</w:t>
            </w:r>
          </w:p>
        </w:tc>
        <w:tc>
          <w:p w14:paraId="4CB0690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通讯协议</w:t>
            </w:r>
          </w:p>
        </w:tc>
        <w:tc>
          <w:p w14:paraId="288B17B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接口用途</w:t>
            </w:r>
          </w:p>
        </w:tc>
        <w:tc>
          <w:p w14:paraId="1EBA77A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调用频率限制</w:t>
            </w:r>
          </w:p>
        </w:tc>
      </w:tr>
      <w:tr w14:paraId="595D91B3">
        <w:tblPrEx>
          <w:tblCellMar>
            <w:top w:w="0" w:type="dxa"/>
            <w:left w:w="108" w:type="dxa"/>
            <w:bottom w:w="0" w:type="dxa"/>
            <w:right w:w="108" w:type="dxa"/>
          </w:tblCellMar>
        </w:tblPrEx>
        <w:tc>
          <w:p w14:paraId="00751E7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央行征信查询接口</w:t>
            </w:r>
          </w:p>
        </w:tc>
        <w:tc>
          <w:p w14:paraId="2108609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V2.0</w:t>
            </w:r>
          </w:p>
        </w:tc>
        <w:tc>
          <w:p w14:paraId="3FB28ED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输入：申请人身份证号、查询原因（个人贷款审批）；输出：个人征信报告（JSON格式）</w:t>
            </w:r>
          </w:p>
        </w:tc>
        <w:tc>
          <w:p w14:paraId="2DF1A3B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HTTPS</w:t>
            </w:r>
          </w:p>
        </w:tc>
        <w:tc>
          <w:p w14:paraId="0A79930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获取申请人历史信贷记录</w:t>
            </w:r>
          </w:p>
        </w:tc>
        <w:tc>
          <w:p w14:paraId="720DCB8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每用户单日&lt;=5</w:t>
            </w:r>
          </w:p>
        </w:tc>
      </w:tr>
      <w:tr w14:paraId="05024E8B">
        <w:tblPrEx>
          <w:tblCellMar>
            <w:top w:w="0" w:type="dxa"/>
            <w:left w:w="108" w:type="dxa"/>
            <w:bottom w:w="0" w:type="dxa"/>
            <w:right w:w="108" w:type="dxa"/>
          </w:tblCellMar>
        </w:tblPrEx>
        <w:tc>
          <w:p w14:paraId="10667D9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芝麻信用分查询接口</w:t>
            </w:r>
          </w:p>
        </w:tc>
        <w:tc>
          <w:p w14:paraId="39C2C93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V3.0</w:t>
            </w:r>
          </w:p>
        </w:tc>
        <w:tc>
          <w:p w14:paraId="406D5E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输入：申请人支付宝账号ID、授权凭证；输出：芝麻信用分（0-950）、信用评级</w:t>
            </w:r>
          </w:p>
        </w:tc>
        <w:tc>
          <w:p w14:paraId="45FC96F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HTTPS</w:t>
            </w:r>
          </w:p>
        </w:tc>
        <w:tc>
          <w:p w14:paraId="2EB4D11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补充非银行信用数据</w:t>
            </w:r>
          </w:p>
        </w:tc>
        <w:tc>
          <w:p w14:paraId="59C0BFB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单IP每秒&lt;=10次</w:t>
            </w:r>
          </w:p>
        </w:tc>
      </w:tr>
      <w:tr w14:paraId="7E270545">
        <w:tblPrEx>
          <w:tblCellMar>
            <w:top w:w="0" w:type="dxa"/>
            <w:left w:w="108" w:type="dxa"/>
            <w:bottom w:w="0" w:type="dxa"/>
            <w:right w:w="108" w:type="dxa"/>
          </w:tblCellMar>
        </w:tblPrEx>
        <w:tc>
          <w:p w14:paraId="5983790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公安身份验证接口</w:t>
            </w:r>
          </w:p>
        </w:tc>
        <w:tc>
          <w:p w14:paraId="32AB152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V1.0</w:t>
            </w:r>
          </w:p>
        </w:tc>
        <w:tc>
          <w:p w14:paraId="3A01CFB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输入：申请人姓名、身份证号；输出：身份真实性（通过/不通过）、身份证有效期</w:t>
            </w:r>
          </w:p>
        </w:tc>
        <w:tc>
          <w:p w14:paraId="2FF6908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HTTPS</w:t>
            </w:r>
          </w:p>
        </w:tc>
        <w:tc>
          <w:p w14:paraId="7CD544E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验证申请人身份有效性</w:t>
            </w:r>
          </w:p>
        </w:tc>
        <w:tc>
          <w:p w14:paraId="2F444F8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单用户单日 ≤ 5 次；单IP每小时 ≤ 100 次</w:t>
            </w:r>
          </w:p>
        </w:tc>
      </w:tr>
      <w:bookmarkEnd w:id="35"/>
    </w:tbl>
    <w:p w14:paraId="1AD3F82E">
      <w:pPr>
        <w:pStyle w:val="8"/>
        <w:rPr>
          <w:rFonts w:hint="eastAsia" w:ascii="宋体" w:hAnsi="宋体" w:eastAsia="宋体" w:cs="宋体"/>
          <w:b w:val="0"/>
          <w:bCs w:val="0"/>
          <w:sz w:val="24"/>
          <w:szCs w:val="24"/>
          <w:lang w:val="en-US" w:eastAsia="zh-CN"/>
        </w:rPr>
      </w:pPr>
      <w:bookmarkStart w:id="36" w:name="Xac211e787b6b3d70b09ae7312ae803569390379"/>
      <w:r>
        <w:rPr>
          <w:rFonts w:hint="eastAsia" w:ascii="宋体" w:hAnsi="宋体" w:eastAsia="宋体" w:cs="宋体"/>
          <w:b w:val="0"/>
          <w:bCs w:val="0"/>
          <w:sz w:val="24"/>
          <w:szCs w:val="24"/>
          <w:lang w:val="en-US" w:eastAsia="zh-CN"/>
        </w:rPr>
        <w:t>2. 接口约束</w:t>
      </w:r>
    </w:p>
    <w:p w14:paraId="4365FA1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所有外部接口调用需添加“超时重试机制”（重试次数3次，间隔2秒）；</w:t>
      </w:r>
    </w:p>
    <w:p w14:paraId="56D5E7B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接口调用日志需完整记录（含请求参数、响应结果、调用时间），留存≥1年；</w:t>
      </w:r>
    </w:p>
    <w:p w14:paraId="034395E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接口权限采用“IP白名单+Token认证”双重控制，禁止未授权IP调用；</w:t>
      </w:r>
    </w:p>
    <w:p w14:paraId="7ED7C74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敏感数据传输加密规则，如央行征信报告、芝麻信用分等数据，除传输层 HTTPS 外，应用层需使用金融级非对称加密（如 RSA 2048 位），禁止明文传输。</w:t>
      </w:r>
    </w:p>
    <w:bookmarkEnd w:id="34"/>
    <w:bookmarkEnd w:id="36"/>
    <w:p w14:paraId="5DA6004E">
      <w:pPr>
        <w:pStyle w:val="8"/>
        <w:rPr>
          <w:rFonts w:hint="eastAsia" w:ascii="宋体" w:hAnsi="宋体" w:eastAsia="宋体" w:cs="宋体"/>
          <w:b w:val="0"/>
          <w:bCs w:val="0"/>
          <w:sz w:val="24"/>
          <w:szCs w:val="24"/>
          <w:lang w:val="en-US" w:eastAsia="zh-CN"/>
        </w:rPr>
      </w:pPr>
      <w:bookmarkStart w:id="37" w:name="Xf1bb9ac98e49b450a4b299985109c86ab8c082c"/>
      <w:r>
        <w:rPr>
          <w:rFonts w:hint="eastAsia" w:ascii="宋体" w:hAnsi="宋体" w:eastAsia="宋体" w:cs="宋体"/>
          <w:b w:val="0"/>
          <w:bCs w:val="0"/>
          <w:sz w:val="24"/>
          <w:szCs w:val="24"/>
          <w:lang w:val="en-US" w:eastAsia="zh-CN"/>
        </w:rPr>
        <w:t>3.4 通讯接口</w:t>
      </w:r>
    </w:p>
    <w:p w14:paraId="27744AD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内部服务通讯：</w:t>
      </w:r>
    </w:p>
    <w:p w14:paraId="15AE355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消息格式：JSON（统一字段命名规范，如“riskScore”而非“fengkongfenshu”）；</w:t>
      </w:r>
    </w:p>
    <w:p w14:paraId="3336421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同步/异步：实时性要求高的接口（如风控决策）用同步通讯，非实时接口（如日志上报）用异步通讯（RabbitMQ）。</w:t>
      </w:r>
    </w:p>
    <w:p w14:paraId="3C7FD0E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外部数据交互：</w:t>
      </w:r>
    </w:p>
    <w:p w14:paraId="62FDA71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与第三方数据源的批量数据交互（如每日征信查询记录汇总）支持CSV文件导入（通过SFTP传输，SFTP服务器需开启密码+密钥认证）；</w:t>
      </w:r>
    </w:p>
    <w:p w14:paraId="740671F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电子邮件通知（如申请人贷款审批结果）：采用SMTP协议，发送服务器为金融机构企业邮箱，邮件模板需包含“系统标识”（如logo、官方联系方式），禁止发送敏感数据（如完整征信报告）；</w:t>
      </w:r>
    </w:p>
    <w:p w14:paraId="48BE271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WEB浏览器交互：支持WebSocket协议，实现审核员工作台“实时待办提醒”（无需手动刷新）。</w:t>
      </w:r>
    </w:p>
    <w:p w14:paraId="75AC944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安全要求：</w:t>
      </w:r>
    </w:p>
    <w:p w14:paraId="4203362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所有通讯数据需加密（传输层HTTPS+应用层SM4加密）；</w:t>
      </w:r>
    </w:p>
    <w:p w14:paraId="12A0B26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数据传输速率：单笔申请的多数据源数据传输≤3秒，批量数据（如每日贷后监控数据）传输≤30分钟；</w:t>
      </w:r>
    </w:p>
    <w:p w14:paraId="1F6371B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通讯异常处理：网络中断时触发本地缓存（Redis），网络恢复后自动同步数据，避免数据丢失。</w:t>
      </w:r>
    </w:p>
    <w:p w14:paraId="4BFA939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明确Redis 缓存策略，如本地缓存数据需设置过期时间（≤2 小时），避免缓存数据过期导致业务逻辑错误；缓存的敏感数据需加密存储，密钥定期轮换（每月 1 次）</w:t>
      </w:r>
    </w:p>
    <w:bookmarkEnd w:id="28"/>
    <w:bookmarkEnd w:id="37"/>
    <w:p w14:paraId="22F971FE">
      <w:pPr>
        <w:pStyle w:val="8"/>
        <w:rPr>
          <w:rFonts w:hint="eastAsia" w:ascii="宋体" w:hAnsi="宋体" w:eastAsia="宋体" w:cs="宋体"/>
          <w:b w:val="0"/>
          <w:bCs w:val="0"/>
          <w:sz w:val="24"/>
          <w:szCs w:val="24"/>
          <w:lang w:val="en-US" w:eastAsia="zh-CN"/>
        </w:rPr>
      </w:pPr>
      <w:bookmarkStart w:id="38" w:name="X35b512328752ab101dd6d5bf1de64b7537dd5b0"/>
      <w:r>
        <w:rPr>
          <w:rFonts w:hint="eastAsia" w:ascii="宋体" w:hAnsi="宋体" w:eastAsia="宋体" w:cs="宋体"/>
          <w:b w:val="0"/>
          <w:bCs w:val="0"/>
          <w:sz w:val="24"/>
          <w:szCs w:val="24"/>
          <w:lang w:val="en-US" w:eastAsia="zh-CN"/>
        </w:rPr>
        <w:t>4. 用例分析与设计</w:t>
      </w:r>
    </w:p>
    <w:p w14:paraId="3B6CF102">
      <w:pPr>
        <w:pStyle w:val="8"/>
        <w:rPr>
          <w:rFonts w:hint="eastAsia" w:ascii="宋体" w:hAnsi="宋体" w:eastAsia="宋体" w:cs="宋体"/>
          <w:b w:val="0"/>
          <w:bCs w:val="0"/>
          <w:sz w:val="24"/>
          <w:szCs w:val="24"/>
          <w:lang w:val="en-US" w:eastAsia="zh-CN"/>
        </w:rPr>
      </w:pPr>
      <w:bookmarkStart w:id="39" w:name="X77da217beefe8723db87b0415597fbc9452780c"/>
      <w:r>
        <w:rPr>
          <w:rFonts w:hint="eastAsia" w:ascii="宋体" w:hAnsi="宋体" w:eastAsia="宋体" w:cs="宋体"/>
          <w:b w:val="0"/>
          <w:bCs w:val="0"/>
          <w:sz w:val="24"/>
          <w:szCs w:val="24"/>
          <w:lang w:val="en-US" w:eastAsia="zh-CN"/>
        </w:rPr>
        <w:t>4.1 系统用例图（顶层）</w:t>
      </w:r>
    </w:p>
    <w:p w14:paraId="5D2FFC6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外部参与者：个人贷款申请人、信贷审核员、风控模型工程师、系统管理员、第三方数据源服务商、核心信贷系统；</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核心用例：</w:t>
      </w:r>
    </w:p>
    <w:p w14:paraId="7F07E3B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申请人：注册登录、提交贷款申请、查询申请进度、查看审批结果；</w:t>
      </w:r>
    </w:p>
    <w:p w14:paraId="2D9B9FB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审核员：查看待审核列表、审核贷款申请、提交审批意见、查看历史审批记录；</w:t>
      </w:r>
    </w:p>
    <w:p w14:paraId="7CA70E6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模型工程师：上传风控模型、调整模型参数、执行模型回测、管理模型版本；</w:t>
      </w:r>
    </w:p>
    <w:p w14:paraId="61AD01F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管理员：配置数据源接口、分配用户权限、监控系统状态、导出系统日志；</w:t>
      </w:r>
    </w:p>
    <w:p w14:paraId="3792DAD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系统与外部交互：调用数据源接口、同步数据至核心信贷系统、推送通知至OA系统。</w:t>
      </w:r>
    </w:p>
    <w:bookmarkEnd w:id="39"/>
    <w:p w14:paraId="5F4A13C3">
      <w:pPr>
        <w:pStyle w:val="8"/>
        <w:rPr>
          <w:rFonts w:hint="eastAsia" w:ascii="宋体" w:hAnsi="宋体" w:eastAsia="宋体" w:cs="宋体"/>
          <w:b w:val="0"/>
          <w:bCs w:val="0"/>
          <w:sz w:val="24"/>
          <w:szCs w:val="24"/>
          <w:lang w:val="en-US" w:eastAsia="zh-CN"/>
        </w:rPr>
      </w:pPr>
      <w:bookmarkStart w:id="40" w:name="Xbd664fcd9c598c1f6b0fb4289494d395acd5755"/>
      <w:r>
        <w:rPr>
          <w:rFonts w:hint="eastAsia" w:ascii="宋体" w:hAnsi="宋体" w:eastAsia="宋体" w:cs="宋体"/>
          <w:b w:val="0"/>
          <w:bCs w:val="0"/>
          <w:sz w:val="24"/>
          <w:szCs w:val="24"/>
          <w:lang w:val="en-US" w:eastAsia="zh-CN"/>
        </w:rPr>
        <w:t>4.2 核心用例简要描述</w:t>
      </w:r>
    </w:p>
    <w:tbl>
      <w:tblPr>
        <w:tblStyle w:val="49"/>
        <w:tblW w:w="0" w:type="auto"/>
        <w:tblInd w:w="0" w:type="dxa"/>
        <w:tblLayout w:type="autofit"/>
        <w:tblCellMar>
          <w:top w:w="0" w:type="dxa"/>
          <w:left w:w="108" w:type="dxa"/>
          <w:bottom w:w="0" w:type="dxa"/>
          <w:right w:w="108" w:type="dxa"/>
        </w:tblCellMar>
      </w:tblPr>
      <w:tblGrid>
        <w:gridCol w:w="1070"/>
        <w:gridCol w:w="2890"/>
        <w:gridCol w:w="4754"/>
      </w:tblGrid>
      <w:tr w14:paraId="65BF3D97">
        <w:tblPrEx>
          <w:tblCellMar>
            <w:top w:w="0" w:type="dxa"/>
            <w:left w:w="108" w:type="dxa"/>
            <w:bottom w:w="0" w:type="dxa"/>
            <w:right w:w="108" w:type="dxa"/>
          </w:tblCellMar>
        </w:tblPrEx>
        <w:trPr>
          <w:tblHeader/>
        </w:trPr>
        <w:tc>
          <w:p w14:paraId="58C7B8D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用例名称</w:t>
            </w:r>
          </w:p>
        </w:tc>
        <w:tc>
          <w:p w14:paraId="44DDAEA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核心作用</w:t>
            </w:r>
          </w:p>
        </w:tc>
        <w:tc>
          <w:p w14:paraId="74B175C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参与者交互流程</w:t>
            </w:r>
          </w:p>
        </w:tc>
      </w:tr>
      <w:tr w14:paraId="1C42A97A">
        <w:tblPrEx>
          <w:tblCellMar>
            <w:top w:w="0" w:type="dxa"/>
            <w:left w:w="108" w:type="dxa"/>
            <w:bottom w:w="0" w:type="dxa"/>
            <w:right w:w="108" w:type="dxa"/>
          </w:tblCellMar>
        </w:tblPrEx>
        <w:tc>
          <w:p w14:paraId="164FD9E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提交贷款申请</w:t>
            </w:r>
          </w:p>
        </w:tc>
        <w:tc>
          <w:p w14:paraId="52A728F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申请人完成个人信息填写与授权，触发系统数据源调用</w:t>
            </w:r>
          </w:p>
        </w:tc>
        <w:tc>
          <w:p w14:paraId="07320D6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申请人：填写信息→上传资料→勾选授权协议→提交申请；系统：校验信息→调用数据源→生成申请编号</w:t>
            </w:r>
          </w:p>
        </w:tc>
      </w:tr>
      <w:tr w14:paraId="32E36EE7">
        <w:tblPrEx>
          <w:tblCellMar>
            <w:top w:w="0" w:type="dxa"/>
            <w:left w:w="108" w:type="dxa"/>
            <w:bottom w:w="0" w:type="dxa"/>
            <w:right w:w="108" w:type="dxa"/>
          </w:tblCellMar>
        </w:tblPrEx>
        <w:tc>
          <w:p w14:paraId="15147D1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贷前风控自动决策</w:t>
            </w:r>
          </w:p>
        </w:tc>
        <w:tc>
          <w:p w14:paraId="46A8249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系统基于多数据源数据计算风险评分，生成初步审批结果</w:t>
            </w:r>
          </w:p>
        </w:tc>
        <w:tc>
          <w:p w14:paraId="7DF522E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系统：提取数据→调用模型→计算评分→对比阈值→生成结果；审核员：查看结果与风控报告</w:t>
            </w:r>
          </w:p>
        </w:tc>
      </w:tr>
      <w:tr w14:paraId="4DBEC3D9">
        <w:tblPrEx>
          <w:tblCellMar>
            <w:top w:w="0" w:type="dxa"/>
            <w:left w:w="108" w:type="dxa"/>
            <w:bottom w:w="0" w:type="dxa"/>
            <w:right w:w="108" w:type="dxa"/>
          </w:tblCellMar>
        </w:tblPrEx>
        <w:tc>
          <w:p w14:paraId="5E7029E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人工审批</w:t>
            </w:r>
          </w:p>
        </w:tc>
        <w:tc>
          <w:p w14:paraId="6E8CF5C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风控结果为“人工复核”时，审核员审核并提交最终意见</w:t>
            </w:r>
          </w:p>
        </w:tc>
        <w:tc>
          <w:p w14:paraId="3DD991C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审核员：查看风控详情→核实风险点→选择“通过/拒绝”→填写理由；系统：记录意见→同步至核心系统</w:t>
            </w:r>
          </w:p>
        </w:tc>
      </w:tr>
      <w:tr w14:paraId="147559C7">
        <w:tblPrEx>
          <w:tblCellMar>
            <w:top w:w="0" w:type="dxa"/>
            <w:left w:w="108" w:type="dxa"/>
            <w:bottom w:w="0" w:type="dxa"/>
            <w:right w:w="108" w:type="dxa"/>
          </w:tblCellMar>
        </w:tblPrEx>
        <w:tc>
          <w:p w14:paraId="299F6F7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模型参数调整</w:t>
            </w:r>
          </w:p>
        </w:tc>
        <w:tc>
          <w:p w14:paraId="1322D6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模型工程师根据回测结果调整风控模型参数，确保模型准确率</w:t>
            </w:r>
          </w:p>
        </w:tc>
        <w:tc>
          <w:p w14:paraId="2C265D9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工程师：选择模型版本→调整参数（如风险阈值）→提交审批；管理员：审核参数→生效配置</w:t>
            </w:r>
          </w:p>
        </w:tc>
      </w:tr>
      <w:tr w14:paraId="09D7A0CD">
        <w:tblPrEx>
          <w:tblCellMar>
            <w:top w:w="0" w:type="dxa"/>
            <w:left w:w="108" w:type="dxa"/>
            <w:bottom w:w="0" w:type="dxa"/>
            <w:right w:w="108" w:type="dxa"/>
          </w:tblCellMar>
        </w:tblPrEx>
        <w:tc>
          <w:p w14:paraId="7A06F8C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贷后逾期预警</w:t>
            </w:r>
          </w:p>
        </w:tc>
        <w:tc>
          <w:p w14:paraId="2C3CCC7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系统实时监控贷款逾期情况，触发分级预警并推送催收任务</w:t>
            </w:r>
          </w:p>
        </w:tc>
        <w:tc>
          <w:p w14:paraId="2331968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系统：查询核心系统还款记录→判断逾期等级→生成预警；催收员：查看预警任务→执行催收</w:t>
            </w:r>
          </w:p>
        </w:tc>
      </w:tr>
      <w:bookmarkEnd w:id="15"/>
      <w:bookmarkEnd w:id="38"/>
      <w:bookmarkEnd w:id="40"/>
    </w:tbl>
    <w:p w14:paraId="419EEC8D">
      <w:pPr>
        <w:pStyle w:val="8"/>
        <w:rPr>
          <w:rFonts w:hint="eastAsia" w:ascii="宋体" w:hAnsi="宋体" w:eastAsia="宋体" w:cs="宋体"/>
          <w:b w:val="0"/>
          <w:bCs w:val="0"/>
          <w:sz w:val="24"/>
          <w:szCs w:val="24"/>
          <w:lang w:val="en-US" w:eastAsia="zh-CN"/>
        </w:rPr>
      </w:pPr>
      <w:bookmarkStart w:id="41" w:name="Xb3bedb2c8d5c4c188570e2097a704216a62d275"/>
      <w:r>
        <w:rPr>
          <w:rFonts w:hint="eastAsia" w:ascii="宋体" w:hAnsi="宋体" w:eastAsia="宋体" w:cs="宋体"/>
          <w:b w:val="0"/>
          <w:bCs w:val="0"/>
          <w:sz w:val="24"/>
          <w:szCs w:val="24"/>
          <w:lang w:val="en-US" w:eastAsia="zh-CN"/>
        </w:rPr>
        <w:t>5. 系统功能需求</w:t>
      </w:r>
    </w:p>
    <w:p w14:paraId="2BAD3C40">
      <w:pPr>
        <w:pStyle w:val="8"/>
        <w:rPr>
          <w:rFonts w:hint="eastAsia" w:ascii="宋体" w:hAnsi="宋体" w:eastAsia="宋体" w:cs="宋体"/>
          <w:b w:val="0"/>
          <w:bCs w:val="0"/>
          <w:sz w:val="24"/>
          <w:szCs w:val="24"/>
          <w:lang w:val="en-US" w:eastAsia="zh-CN"/>
        </w:rPr>
      </w:pPr>
      <w:bookmarkStart w:id="42" w:name="X01e584e3442dbede8163458a9b76a1f9f6f1f4c"/>
      <w:r>
        <w:rPr>
          <w:rFonts w:hint="eastAsia" w:ascii="宋体" w:hAnsi="宋体" w:eastAsia="宋体" w:cs="宋体"/>
          <w:b w:val="0"/>
          <w:bCs w:val="0"/>
          <w:sz w:val="24"/>
          <w:szCs w:val="24"/>
          <w:lang w:val="en-US" w:eastAsia="zh-CN"/>
        </w:rPr>
        <w:t>5.1 输入／输出数据</w:t>
      </w:r>
    </w:p>
    <w:p w14:paraId="3FFAA905">
      <w:pPr>
        <w:pStyle w:val="8"/>
        <w:rPr>
          <w:rFonts w:hint="eastAsia" w:ascii="宋体" w:hAnsi="宋体" w:eastAsia="宋体" w:cs="宋体"/>
          <w:b w:val="0"/>
          <w:bCs w:val="0"/>
          <w:sz w:val="24"/>
          <w:szCs w:val="24"/>
          <w:lang w:val="en-US" w:eastAsia="zh-CN"/>
        </w:rPr>
      </w:pPr>
      <w:bookmarkStart w:id="43" w:name="X8e5d707c4d038a5da18cb227db3f707ab42fbea"/>
      <w:r>
        <w:rPr>
          <w:rFonts w:hint="eastAsia" w:ascii="宋体" w:hAnsi="宋体" w:eastAsia="宋体" w:cs="宋体"/>
          <w:b w:val="0"/>
          <w:bCs w:val="0"/>
          <w:sz w:val="24"/>
          <w:szCs w:val="24"/>
          <w:lang w:val="en-US" w:eastAsia="zh-CN"/>
        </w:rPr>
        <w:t>5.1.1 多数据源接入与管理模块</w:t>
      </w:r>
    </w:p>
    <w:tbl>
      <w:tblPr>
        <w:tblStyle w:val="49"/>
        <w:tblW w:w="0" w:type="auto"/>
        <w:tblInd w:w="0" w:type="dxa"/>
        <w:tblLayout w:type="autofit"/>
        <w:tblCellMar>
          <w:top w:w="0" w:type="dxa"/>
          <w:left w:w="108" w:type="dxa"/>
          <w:bottom w:w="0" w:type="dxa"/>
          <w:right w:w="108" w:type="dxa"/>
        </w:tblCellMar>
      </w:tblPr>
      <w:tblGrid>
        <w:gridCol w:w="525"/>
        <w:gridCol w:w="2165"/>
        <w:gridCol w:w="2905"/>
        <w:gridCol w:w="3119"/>
      </w:tblGrid>
      <w:tr w14:paraId="70BFC78C">
        <w:tblPrEx>
          <w:tblCellMar>
            <w:top w:w="0" w:type="dxa"/>
            <w:left w:w="108" w:type="dxa"/>
            <w:bottom w:w="0" w:type="dxa"/>
            <w:right w:w="108" w:type="dxa"/>
          </w:tblCellMar>
        </w:tblPrEx>
        <w:trPr>
          <w:tblHeader/>
        </w:trPr>
        <w:tc>
          <w:p w14:paraId="342B53C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数据类型</w:t>
            </w:r>
          </w:p>
        </w:tc>
        <w:tc>
          <w:p w14:paraId="7DD8219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输入数据</w:t>
            </w:r>
          </w:p>
        </w:tc>
        <w:tc>
          <w:p w14:paraId="648EA21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处理方法</w:t>
            </w:r>
          </w:p>
        </w:tc>
        <w:tc>
          <w:p w14:paraId="2A465E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输出数据</w:t>
            </w:r>
          </w:p>
        </w:tc>
      </w:tr>
      <w:tr w14:paraId="77121BB9">
        <w:tblPrEx>
          <w:tblCellMar>
            <w:top w:w="0" w:type="dxa"/>
            <w:left w:w="108" w:type="dxa"/>
            <w:bottom w:w="0" w:type="dxa"/>
            <w:right w:w="108" w:type="dxa"/>
          </w:tblCellMar>
        </w:tblPrEx>
        <w:tc>
          <w:p w14:paraId="28745C5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央行征信数据</w:t>
            </w:r>
          </w:p>
        </w:tc>
        <w:tc>
          <w:p w14:paraId="3B84A2B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输入：申请人身份证号（String，18位）、查询授权凭证（String，32位UUID）</w:t>
            </w:r>
          </w:p>
        </w:tc>
        <w:tc>
          <w:p w14:paraId="2901DE3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接口加密调用（HTTPS+SM4）；2. 数据清洗（剔除无效字段，补全缺失的“逾期次数”字段）；3. 格式转换（将征信报告XML转为JSON）</w:t>
            </w:r>
          </w:p>
        </w:tc>
        <w:tc>
          <w:p w14:paraId="0344DFF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输出：标准化征信数据（JSON），含“逾期次数”（Int）、“当前负债金额”（Decimal(18,2)）、“信贷账户数”（Int）</w:t>
            </w:r>
          </w:p>
        </w:tc>
      </w:tr>
      <w:tr w14:paraId="7D3AB1E7">
        <w:tblPrEx>
          <w:tblCellMar>
            <w:top w:w="0" w:type="dxa"/>
            <w:left w:w="108" w:type="dxa"/>
            <w:bottom w:w="0" w:type="dxa"/>
            <w:right w:w="108" w:type="dxa"/>
          </w:tblCellMar>
        </w:tblPrEx>
        <w:tc>
          <w:p w14:paraId="3D5B40B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芝麻信用数据</w:t>
            </w:r>
          </w:p>
        </w:tc>
        <w:tc>
          <w:p w14:paraId="4EEB48F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输入：申请人支付宝ID（String，32位）、授权令牌（String，64位）</w:t>
            </w:r>
          </w:p>
        </w:tc>
        <w:tc>
          <w:p w14:paraId="38AB096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令牌有效性校验；2. 调用芝麻信用API获取信用分；3. 映射信用评级（800-950：优秀，650-799：良好，550-649：中等，&lt;550：较差）</w:t>
            </w:r>
          </w:p>
        </w:tc>
        <w:tc>
          <w:p w14:paraId="1C120F2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输出：芝麻信用分（Int，0-950）、信用评级（String）、信用分变动趋势（近3个月）</w:t>
            </w:r>
          </w:p>
        </w:tc>
      </w:tr>
      <w:tr w14:paraId="2AFE51FF">
        <w:tblPrEx>
          <w:tblCellMar>
            <w:top w:w="0" w:type="dxa"/>
            <w:left w:w="108" w:type="dxa"/>
            <w:bottom w:w="0" w:type="dxa"/>
            <w:right w:w="108" w:type="dxa"/>
          </w:tblCellMar>
        </w:tblPrEx>
        <w:tc>
          <w:p w14:paraId="4106124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消费行为数据</w:t>
            </w:r>
          </w:p>
        </w:tc>
        <w:tc>
          <w:p w14:paraId="456219E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输入：申请人银行卡号（String，20位）、查询日期范围（String，YYYY-MM-DD至YYYY-MM-DD）</w:t>
            </w:r>
          </w:p>
        </w:tc>
        <w:tc>
          <w:p w14:paraId="6BE33D6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批量调用百融接口获取消费记录；2. 数据聚合（按“电商/线下/金融”场景统计消费金额）；3. 异常值剔除（如单笔消费≥10万元标记为异常，需人工核实）</w:t>
            </w:r>
          </w:p>
        </w:tc>
        <w:tc>
          <w:p w14:paraId="4DBB528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输出：分场景消费金额（Decimal(18,2)）、月均消费金额（Decimal(18,2)）、消费频率（次/月）</w:t>
            </w:r>
          </w:p>
        </w:tc>
      </w:tr>
      <w:bookmarkEnd w:id="43"/>
    </w:tbl>
    <w:p w14:paraId="28EA9991">
      <w:pPr>
        <w:pStyle w:val="8"/>
        <w:rPr>
          <w:rFonts w:hint="eastAsia" w:ascii="宋体" w:hAnsi="宋体" w:eastAsia="宋体" w:cs="宋体"/>
          <w:b w:val="0"/>
          <w:bCs w:val="0"/>
          <w:sz w:val="24"/>
          <w:szCs w:val="24"/>
          <w:lang w:val="en-US" w:eastAsia="zh-CN"/>
        </w:rPr>
      </w:pPr>
      <w:bookmarkStart w:id="44" w:name="X1da5916ef40542848888193b09b4345f3742cce"/>
      <w:r>
        <w:rPr>
          <w:rFonts w:hint="eastAsia" w:ascii="宋体" w:hAnsi="宋体" w:eastAsia="宋体" w:cs="宋体"/>
          <w:b w:val="0"/>
          <w:bCs w:val="0"/>
          <w:sz w:val="24"/>
          <w:szCs w:val="24"/>
          <w:lang w:val="en-US" w:eastAsia="zh-CN"/>
        </w:rPr>
        <w:t>5.1.2 贷前风控决策模块</w:t>
      </w:r>
    </w:p>
    <w:tbl>
      <w:tblPr>
        <w:tblStyle w:val="49"/>
        <w:tblW w:w="0" w:type="auto"/>
        <w:tblInd w:w="0" w:type="dxa"/>
        <w:tblLayout w:type="autofit"/>
        <w:tblCellMar>
          <w:top w:w="0" w:type="dxa"/>
          <w:left w:w="108" w:type="dxa"/>
          <w:bottom w:w="0" w:type="dxa"/>
          <w:right w:w="108" w:type="dxa"/>
        </w:tblCellMar>
      </w:tblPr>
      <w:tblGrid>
        <w:gridCol w:w="535"/>
        <w:gridCol w:w="2564"/>
        <w:gridCol w:w="3035"/>
        <w:gridCol w:w="2580"/>
      </w:tblGrid>
      <w:tr w14:paraId="5A561FAA">
        <w:tblPrEx>
          <w:tblCellMar>
            <w:top w:w="0" w:type="dxa"/>
            <w:left w:w="108" w:type="dxa"/>
            <w:bottom w:w="0" w:type="dxa"/>
            <w:right w:w="108" w:type="dxa"/>
          </w:tblCellMar>
        </w:tblPrEx>
        <w:trPr>
          <w:tblHeader/>
        </w:trPr>
        <w:tc>
          <w:p w14:paraId="5DBF224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数据类型</w:t>
            </w:r>
          </w:p>
        </w:tc>
        <w:tc>
          <w:p w14:paraId="15A637B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输入数据</w:t>
            </w:r>
          </w:p>
        </w:tc>
        <w:tc>
          <w:p w14:paraId="01FE54A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处理方法</w:t>
            </w:r>
          </w:p>
        </w:tc>
        <w:tc>
          <w:p w14:paraId="2E725E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输出数据</w:t>
            </w:r>
          </w:p>
        </w:tc>
      </w:tr>
      <w:tr w14:paraId="62905977">
        <w:tblPrEx>
          <w:tblCellMar>
            <w:top w:w="0" w:type="dxa"/>
            <w:left w:w="108" w:type="dxa"/>
            <w:bottom w:w="0" w:type="dxa"/>
            <w:right w:w="108" w:type="dxa"/>
          </w:tblCellMar>
        </w:tblPrEx>
        <w:tc>
          <w:p w14:paraId="34F8F3A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风控决策输入</w:t>
            </w:r>
          </w:p>
        </w:tc>
        <w:tc>
          <w:p w14:paraId="2D86D2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申请人标准化数据（征信+信用分+消费数据）、贷款参数（金额：Decimal(18,2)，期限：Int）</w:t>
            </w:r>
          </w:p>
        </w:tc>
        <w:tc>
          <w:p w14:paraId="188D3F7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特征工程（将原始数据转换为模型输入特征，如“逾期次数&gt;3次”设为1，否则0）；2. 调用融合模型（逻辑回归计算基础分+XGBoost计算调整分，最终得分=基础分0.6+调整分0.4）；3. 对比风险阈值（≥600：通过，500-599：人工复核，&lt;500：拒绝）</w:t>
            </w:r>
          </w:p>
        </w:tc>
        <w:tc>
          <w:p w14:paraId="5177120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输出：风险评分（Int，0-1000）、风控结果（String：通过/拒绝/人工复核）、核心风险点（String，如“近1年逾期3次”）、风控报告（PDF格式，含特征明细与评分依据）</w:t>
            </w:r>
          </w:p>
        </w:tc>
      </w:tr>
      <w:bookmarkEnd w:id="44"/>
    </w:tbl>
    <w:p w14:paraId="5E54B9F7">
      <w:pPr>
        <w:pStyle w:val="8"/>
        <w:rPr>
          <w:rFonts w:hint="eastAsia" w:ascii="宋体" w:hAnsi="宋体" w:eastAsia="宋体" w:cs="宋体"/>
          <w:b w:val="0"/>
          <w:bCs w:val="0"/>
          <w:sz w:val="24"/>
          <w:szCs w:val="24"/>
          <w:lang w:val="en-US" w:eastAsia="zh-CN"/>
        </w:rPr>
      </w:pPr>
      <w:bookmarkStart w:id="45" w:name="X8e15079efd905266efa3c85772fe78d9cc7691c"/>
      <w:r>
        <w:rPr>
          <w:rFonts w:hint="eastAsia" w:ascii="宋体" w:hAnsi="宋体" w:eastAsia="宋体" w:cs="宋体"/>
          <w:b w:val="0"/>
          <w:bCs w:val="0"/>
          <w:sz w:val="24"/>
          <w:szCs w:val="24"/>
          <w:lang w:val="en-US" w:eastAsia="zh-CN"/>
        </w:rPr>
        <w:t>5.1.3 贷款审批与放款模块</w:t>
      </w:r>
    </w:p>
    <w:tbl>
      <w:tblPr>
        <w:tblStyle w:val="49"/>
        <w:tblW w:w="0" w:type="auto"/>
        <w:tblInd w:w="0" w:type="dxa"/>
        <w:tblLayout w:type="autofit"/>
        <w:tblCellMar>
          <w:top w:w="0" w:type="dxa"/>
          <w:left w:w="108" w:type="dxa"/>
          <w:bottom w:w="0" w:type="dxa"/>
          <w:right w:w="108" w:type="dxa"/>
        </w:tblCellMar>
      </w:tblPr>
      <w:tblGrid>
        <w:gridCol w:w="521"/>
        <w:gridCol w:w="2432"/>
        <w:gridCol w:w="2943"/>
        <w:gridCol w:w="2818"/>
      </w:tblGrid>
      <w:tr w14:paraId="334BA6B1">
        <w:tblPrEx>
          <w:tblCellMar>
            <w:top w:w="0" w:type="dxa"/>
            <w:left w:w="108" w:type="dxa"/>
            <w:bottom w:w="0" w:type="dxa"/>
            <w:right w:w="108" w:type="dxa"/>
          </w:tblCellMar>
        </w:tblPrEx>
        <w:trPr>
          <w:tblHeader/>
        </w:trPr>
        <w:tc>
          <w:p w14:paraId="6C8AEC7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数据类型</w:t>
            </w:r>
          </w:p>
        </w:tc>
        <w:tc>
          <w:p w14:paraId="4709890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输入数据</w:t>
            </w:r>
          </w:p>
        </w:tc>
        <w:tc>
          <w:p w14:paraId="5025F89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处理方法</w:t>
            </w:r>
          </w:p>
        </w:tc>
        <w:tc>
          <w:p w14:paraId="698C4A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输出数据</w:t>
            </w:r>
          </w:p>
        </w:tc>
      </w:tr>
      <w:tr w14:paraId="03DA1047">
        <w:tblPrEx>
          <w:tblCellMar>
            <w:top w:w="0" w:type="dxa"/>
            <w:left w:w="108" w:type="dxa"/>
            <w:bottom w:w="0" w:type="dxa"/>
            <w:right w:w="108" w:type="dxa"/>
          </w:tblCellMar>
        </w:tblPrEx>
        <w:tc>
          <w:p w14:paraId="21AC750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审批输入</w:t>
            </w:r>
          </w:p>
        </w:tc>
        <w:tc>
          <w:p w14:paraId="2E6038B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风控结果（String）、审核员意见（String）、审核员ID（String）</w:t>
            </w:r>
          </w:p>
        </w:tc>
        <w:tc>
          <w:p w14:paraId="5DA8466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自动审批：风控结果为“通过”时，系统自动生成审批通过意见；2. 人工审批：风控结果为“人工复核”时，需2名审核员均通过（或1名主管通过）；3. 审批不通过：记录拒绝原因（如“征信逾期次数超标”）</w:t>
            </w:r>
          </w:p>
        </w:tc>
        <w:tc>
          <w:p w14:paraId="1B1BA4E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输出：最终审批结果（String：通过/拒绝）、审批意见（String）、审批人（String）、审批时间（DateTime）</w:t>
            </w:r>
          </w:p>
        </w:tc>
      </w:tr>
      <w:tr w14:paraId="6DF34AF2">
        <w:tblPrEx>
          <w:tblCellMar>
            <w:top w:w="0" w:type="dxa"/>
            <w:left w:w="108" w:type="dxa"/>
            <w:bottom w:w="0" w:type="dxa"/>
            <w:right w:w="108" w:type="dxa"/>
          </w:tblCellMar>
        </w:tblPrEx>
        <w:tc>
          <w:p w14:paraId="5981CC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放款输入</w:t>
            </w:r>
          </w:p>
        </w:tc>
        <w:tc>
          <w:p w14:paraId="68347CF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审批通过结果（String）、申请人银行卡信息（String，16-19位）、贷款合同编号（String）</w:t>
            </w:r>
          </w:p>
        </w:tc>
        <w:tc>
          <w:p w14:paraId="72A0675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校验银行卡有效性（调用银联接口）；2. 生成放款指令（含合同编号、金额、银行卡号）；3. 调用核心信贷系统放款接口，同步指令</w:t>
            </w:r>
          </w:p>
        </w:tc>
        <w:tc>
          <w:p w14:paraId="06875AE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输出：放款结果（String：成功/失败）、放款时间（DateTime）、失败原因（String，如“银行卡状态异常”）</w:t>
            </w:r>
          </w:p>
        </w:tc>
      </w:tr>
      <w:bookmarkEnd w:id="42"/>
      <w:bookmarkEnd w:id="45"/>
    </w:tbl>
    <w:p w14:paraId="792E8CD0">
      <w:pPr>
        <w:pStyle w:val="8"/>
        <w:rPr>
          <w:rFonts w:hint="eastAsia" w:ascii="宋体" w:hAnsi="宋体" w:eastAsia="宋体" w:cs="宋体"/>
          <w:b w:val="0"/>
          <w:bCs w:val="0"/>
          <w:sz w:val="24"/>
          <w:szCs w:val="24"/>
          <w:lang w:val="en-US" w:eastAsia="zh-CN"/>
        </w:rPr>
      </w:pPr>
      <w:bookmarkStart w:id="46" w:name="X05a5ce90f4da85249a188daae2170934c00de96"/>
      <w:r>
        <w:rPr>
          <w:rFonts w:hint="eastAsia" w:ascii="宋体" w:hAnsi="宋体" w:eastAsia="宋体" w:cs="宋体"/>
          <w:b w:val="0"/>
          <w:bCs w:val="0"/>
          <w:sz w:val="24"/>
          <w:szCs w:val="24"/>
          <w:lang w:val="en-US" w:eastAsia="zh-CN"/>
        </w:rPr>
        <w:t>5.2 用例描述（核心用例）</w:t>
      </w:r>
    </w:p>
    <w:p w14:paraId="4EBF8EAC">
      <w:pPr>
        <w:pStyle w:val="8"/>
        <w:rPr>
          <w:rFonts w:hint="eastAsia" w:ascii="宋体" w:hAnsi="宋体" w:eastAsia="宋体" w:cs="宋体"/>
          <w:b w:val="0"/>
          <w:bCs w:val="0"/>
          <w:sz w:val="24"/>
          <w:szCs w:val="24"/>
          <w:lang w:val="en-US" w:eastAsia="zh-CN"/>
        </w:rPr>
      </w:pPr>
      <w:bookmarkStart w:id="47" w:name="用例1贷前风控自动决策"/>
      <w:r>
        <w:rPr>
          <w:rFonts w:hint="eastAsia" w:ascii="宋体" w:hAnsi="宋体" w:eastAsia="宋体" w:cs="宋体"/>
          <w:b w:val="0"/>
          <w:bCs w:val="0"/>
          <w:sz w:val="24"/>
          <w:szCs w:val="24"/>
          <w:lang w:val="en-US" w:eastAsia="zh-CN"/>
        </w:rPr>
        <w:t>用例1：贷前风控自动决策</w:t>
      </w:r>
    </w:p>
    <w:p w14:paraId="089E2B0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用例名：贷前风控自动决策</w:t>
      </w:r>
    </w:p>
    <w:p w14:paraId="3DE2C54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简述：系统基于多数据源标准化数据，调用融合风控模型计算风险评分，自动生成“通过/拒绝/人工复核”的风控结果，并生成风控报告供审核员查看。</w:t>
      </w:r>
    </w:p>
    <w:p w14:paraId="669A339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主要参与者：系统（自动执行）、信贷审核员（查看结果）</w:t>
      </w:r>
    </w:p>
    <w:p w14:paraId="514266C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情景目标：实现贷款申请的自动化风控筛选，减少人工审核工作量，确保风控结果准确率≥90%。</w:t>
      </w:r>
    </w:p>
    <w:p w14:paraId="097BABC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前提条件：1. 申请人已提交贷款申请；2. 多数据源（央行征信、芝麻信用、消费数据）数据已获取且清洗完成；3. 风控模型已上线并启用。</w:t>
      </w:r>
    </w:p>
    <w:p w14:paraId="5F3E47B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触发事件：申请人提交贷款申请，系统完成多数据源数据清洗。</w:t>
      </w:r>
    </w:p>
    <w:p w14:paraId="0C52925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场景描述：</w:t>
      </w:r>
    </w:p>
    <w:p w14:paraId="6779165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系统从“多数据源数据集市”中提取当前申请人的标准化数据（含征信、信用分、消费数据）；</w:t>
      </w:r>
    </w:p>
    <w:p w14:paraId="2E25383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系统调用“融合风控模型”（逻辑回归+XGBoost），输入标准化数据与贷款参数（金额/期限）；</w:t>
      </w:r>
    </w:p>
    <w:p w14:paraId="301A066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模型计算风险评分（0-1000分），系统读取预设风险阈值（≥600：通过，500-599：人工复核，&lt;500：拒绝）；</w:t>
      </w:r>
    </w:p>
    <w:p w14:paraId="4103425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系统生成风控报告，报告包含“风险评分、核心风险点（如逾期次数）、数据源明细”；</w:t>
      </w:r>
    </w:p>
    <w:p w14:paraId="38765D7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系统将风控结果与报告推送至“审核员工作台待办列表”，并记录操作日志；</w:t>
      </w:r>
    </w:p>
    <w:p w14:paraId="745D43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审核员登录工作台，可查看风控结果与报告。</w:t>
      </w:r>
    </w:p>
    <w:p w14:paraId="3C7D68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异常处理：</w:t>
      </w:r>
    </w:p>
    <w:p w14:paraId="202A03D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异常1：风控模型调用超时（&gt;5秒）→ 系统自动切换至备用模型（逻辑回归单模型），并记录模型切换日志，事后通知模型工程师；</w:t>
      </w:r>
    </w:p>
    <w:p w14:paraId="7FAFFF2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异常2：某一数据源数据缺失（如芝麻信用分获取失败）→ 系统用“默认值+权重调整”（如信用分默认550，对应特征权重降低50%）计算评分，在风控报告中标注“部分数据源缺失”；</w:t>
      </w:r>
    </w:p>
    <w:p w14:paraId="725BB4E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异常3：风险评分等于阈值边界（如正好600分）→ 系统将结果调整为“人工复核”，避免误判。</w:t>
      </w:r>
    </w:p>
    <w:p w14:paraId="0D80975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优先级：高（9/9，直接影响贷款审批效率，需优先保障）</w:t>
      </w:r>
    </w:p>
    <w:p w14:paraId="4A314BB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使用频率：每笔贷款申请触发1次，日均预计触发≥1000次</w:t>
      </w:r>
    </w:p>
    <w:p w14:paraId="5A6869A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次要参与者：风控模型工程师（处理模型异常）</w:t>
      </w:r>
    </w:p>
    <w:p w14:paraId="04CC65C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未明确的问题：1. 风险阈值是否需按贷款金额动态调整（如50万贷款阈值提高至650分）；2. 数据源缺失时的默认值是否需业务部门确认。</w:t>
      </w:r>
    </w:p>
    <w:bookmarkEnd w:id="47"/>
    <w:p w14:paraId="7FFAB651">
      <w:pPr>
        <w:pStyle w:val="8"/>
        <w:rPr>
          <w:rFonts w:hint="eastAsia" w:ascii="宋体" w:hAnsi="宋体" w:eastAsia="宋体" w:cs="宋体"/>
          <w:b w:val="0"/>
          <w:bCs w:val="0"/>
          <w:sz w:val="24"/>
          <w:szCs w:val="24"/>
          <w:lang w:val="en-US" w:eastAsia="zh-CN"/>
        </w:rPr>
      </w:pPr>
      <w:bookmarkStart w:id="48" w:name="用例2人工审批贷款申请"/>
      <w:r>
        <w:rPr>
          <w:rFonts w:hint="eastAsia" w:ascii="宋体" w:hAnsi="宋体" w:eastAsia="宋体" w:cs="宋体"/>
          <w:b w:val="0"/>
          <w:bCs w:val="0"/>
          <w:sz w:val="24"/>
          <w:szCs w:val="24"/>
          <w:lang w:val="en-US" w:eastAsia="zh-CN"/>
        </w:rPr>
        <w:t>用例2：人工审批贷款申请</w:t>
      </w:r>
    </w:p>
    <w:p w14:paraId="722DF76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用例名：人工审批贷款申请</w:t>
      </w:r>
    </w:p>
    <w:p w14:paraId="6D24E0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简述：风控结果为“人工复核”时，信贷审核员查看风控报告与申请人资料，核实风险点后提交审批意见，需满足“双人复核”规则（普通审核员）或“单人审批”规则（主管）。</w:t>
      </w:r>
    </w:p>
    <w:p w14:paraId="66D842F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主要参与者：信贷审核员（普通/主管）</w:t>
      </w:r>
    </w:p>
    <w:p w14:paraId="17F3BE2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情景目标：通过人工介入，修正自动化风控的误判，确保高风险申请被拦截，低风险申请通过。</w:t>
      </w:r>
    </w:p>
    <w:p w14:paraId="65621F3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前提条件：1. 系统已生成“人工复核”风控结果；2. 审核员已登录系统，且拥有“审批权限”；3. 风控报告与申请人资料已完整。</w:t>
      </w:r>
    </w:p>
    <w:p w14:paraId="69954EC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触发事件：审核员在工作台点击“待审核申请”，进入审批页面。</w:t>
      </w:r>
    </w:p>
    <w:p w14:paraId="309A596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场景描述：</w:t>
      </w:r>
    </w:p>
    <w:p w14:paraId="7E7A71D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审核员查看“申请人基本信息（姓名、身份证号）、贷款参数（金额/期限）、风控报告、上传资料（身份证OCR）”；</w:t>
      </w:r>
    </w:p>
    <w:p w14:paraId="5A72689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审核员重点核实风控报告中的“核心风险点”（如逾期次数是否属实，消费数据是否匹配收入水平）；</w:t>
      </w:r>
    </w:p>
    <w:p w14:paraId="4C4E1A0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审核员根据核实结果，选择审批意见（通过/拒绝），并填写意见理由（必填，如“逾期为3年前非恶意逾期，同意通过”）；</w:t>
      </w:r>
    </w:p>
    <w:p w14:paraId="4C9FA2A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若为普通审核员：提交意见后，申请进入“二次复核待办”，需另一名普通审核员审批；若两名审核员意见一致（均通过/均拒绝），则生成最终结果；若意见不一致，自动升级至主管审批；</w:t>
      </w:r>
    </w:p>
    <w:p w14:paraId="484E099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若为审核主管：可直接审批“人工复核”申请，提交意见后生成最终结果；</w:t>
      </w:r>
    </w:p>
    <w:p w14:paraId="1BD2B6B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系统记录审批意见、审批人、审批时间，将最终结果同步至“申请人查询页面”与“核心信贷系统”；</w:t>
      </w:r>
    </w:p>
    <w:p w14:paraId="1E49698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系统通过短信通知申请人审批结果（不含具体风险点）。</w:t>
      </w:r>
    </w:p>
    <w:p w14:paraId="5C992C4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异常处理：</w:t>
      </w:r>
    </w:p>
    <w:p w14:paraId="4B6C554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异常1：审核员提交意见后，系统崩溃→ 自动恢复后，从最近一次保存节点继续（意见已保存至数据库），避免重复审批；</w:t>
      </w:r>
    </w:p>
    <w:p w14:paraId="2010A8C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异常2：两名普通审核员意见不一致→ 系统自动推送至主管，主管审批意见为最终结果；</w:t>
      </w:r>
    </w:p>
    <w:p w14:paraId="0DAC2EE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异常3：审核员超时未审批（&gt;24小时）→ 系统通过OA通知审核员及其主管，逾期未处理则自动标记为“拒绝”，并记录原因。</w:t>
      </w:r>
    </w:p>
    <w:p w14:paraId="52CACAD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优先级：中高（7/9，影响部分申请审批效率，需在24小时内完成）</w:t>
      </w:r>
    </w:p>
    <w:p w14:paraId="12D8F37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使用频率：日均预计触发≥200次（约占总申请量20%）</w:t>
      </w:r>
    </w:p>
    <w:p w14:paraId="345E383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次要参与者：申请人（接收审批结果）、系统管理员（分配审批权限）</w:t>
      </w:r>
    </w:p>
    <w:p w14:paraId="0025DB4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未明确的问题：1. 审核员的审批时限是否需按申请金额区分（如50万申请需8小时内审批）；2. 审批意见是否需归档至金融机构合规部门。</w:t>
      </w:r>
    </w:p>
    <w:bookmarkEnd w:id="46"/>
    <w:bookmarkEnd w:id="48"/>
    <w:p w14:paraId="2005EFBC">
      <w:pPr>
        <w:pStyle w:val="8"/>
        <w:rPr>
          <w:rFonts w:hint="eastAsia" w:ascii="宋体" w:hAnsi="宋体" w:eastAsia="宋体" w:cs="宋体"/>
          <w:b w:val="0"/>
          <w:bCs w:val="0"/>
          <w:sz w:val="24"/>
          <w:szCs w:val="24"/>
          <w:lang w:val="en-US" w:eastAsia="zh-CN"/>
        </w:rPr>
      </w:pPr>
      <w:bookmarkStart w:id="49" w:name="X6579319f24c25b096660452072a578000cb919b"/>
      <w:r>
        <w:rPr>
          <w:rFonts w:hint="eastAsia" w:ascii="宋体" w:hAnsi="宋体" w:eastAsia="宋体" w:cs="宋体"/>
          <w:b w:val="0"/>
          <w:bCs w:val="0"/>
          <w:sz w:val="24"/>
          <w:szCs w:val="24"/>
          <w:lang w:val="en-US" w:eastAsia="zh-CN"/>
        </w:rPr>
        <w:t>6. 其它非功能需求</w:t>
      </w:r>
    </w:p>
    <w:p w14:paraId="5E7A7560">
      <w:pPr>
        <w:pStyle w:val="8"/>
        <w:rPr>
          <w:rFonts w:hint="eastAsia" w:ascii="宋体" w:hAnsi="宋体" w:eastAsia="宋体" w:cs="宋体"/>
          <w:b w:val="0"/>
          <w:bCs w:val="0"/>
          <w:sz w:val="24"/>
          <w:szCs w:val="24"/>
          <w:lang w:val="en-US" w:eastAsia="zh-CN"/>
        </w:rPr>
      </w:pPr>
      <w:bookmarkStart w:id="50" w:name="X3bf05b05914258d33456ffc481eb5f224788709"/>
      <w:r>
        <w:rPr>
          <w:rFonts w:hint="eastAsia" w:ascii="宋体" w:hAnsi="宋体" w:eastAsia="宋体" w:cs="宋体"/>
          <w:b w:val="0"/>
          <w:bCs w:val="0"/>
          <w:sz w:val="24"/>
          <w:szCs w:val="24"/>
          <w:lang w:val="en-US" w:eastAsia="zh-CN"/>
        </w:rPr>
        <w:t>6.1 性能需求</w:t>
      </w:r>
    </w:p>
    <w:p w14:paraId="158E3CE5">
      <w:pPr>
        <w:pStyle w:val="8"/>
        <w:rPr>
          <w:rFonts w:hint="eastAsia" w:ascii="宋体" w:hAnsi="宋体" w:eastAsia="宋体" w:cs="宋体"/>
          <w:b w:val="0"/>
          <w:bCs w:val="0"/>
          <w:sz w:val="24"/>
          <w:szCs w:val="24"/>
          <w:lang w:val="en-US" w:eastAsia="zh-CN"/>
        </w:rPr>
      </w:pPr>
      <w:bookmarkStart w:id="51" w:name="X3ea98c0f706e147ec690650225b4e33d75e2f61"/>
      <w:r>
        <w:rPr>
          <w:rFonts w:hint="eastAsia" w:ascii="宋体" w:hAnsi="宋体" w:eastAsia="宋体" w:cs="宋体"/>
          <w:b w:val="0"/>
          <w:bCs w:val="0"/>
          <w:sz w:val="24"/>
          <w:szCs w:val="24"/>
          <w:lang w:val="en-US" w:eastAsia="zh-CN"/>
        </w:rPr>
        <w:t>6.1.1 并发与响应时间</w:t>
      </w:r>
    </w:p>
    <w:tbl>
      <w:tblPr>
        <w:tblStyle w:val="49"/>
        <w:tblW w:w="0" w:type="auto"/>
        <w:tblInd w:w="0" w:type="dxa"/>
        <w:tblLayout w:type="autofit"/>
        <w:tblCellMar>
          <w:top w:w="0" w:type="dxa"/>
          <w:left w:w="108" w:type="dxa"/>
          <w:bottom w:w="0" w:type="dxa"/>
          <w:right w:w="108" w:type="dxa"/>
        </w:tblCellMar>
      </w:tblPr>
      <w:tblGrid>
        <w:gridCol w:w="1026"/>
        <w:gridCol w:w="4332"/>
        <w:gridCol w:w="3356"/>
      </w:tblGrid>
      <w:tr w14:paraId="609748B8">
        <w:tblPrEx>
          <w:tblCellMar>
            <w:top w:w="0" w:type="dxa"/>
            <w:left w:w="108" w:type="dxa"/>
            <w:bottom w:w="0" w:type="dxa"/>
            <w:right w:w="108" w:type="dxa"/>
          </w:tblCellMar>
        </w:tblPrEx>
        <w:trPr>
          <w:tblHeader/>
        </w:trPr>
        <w:tc>
          <w:p w14:paraId="4DF4B92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场景</w:t>
            </w:r>
          </w:p>
        </w:tc>
        <w:tc>
          <w:p w14:paraId="45FBF78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性能指标</w:t>
            </w:r>
          </w:p>
        </w:tc>
        <w:tc>
          <w:p w14:paraId="7466A88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模拟</w:t>
            </w:r>
          </w:p>
        </w:tc>
      </w:tr>
      <w:tr w14:paraId="50FC0232">
        <w:tblPrEx>
          <w:tblCellMar>
            <w:top w:w="0" w:type="dxa"/>
            <w:left w:w="108" w:type="dxa"/>
            <w:bottom w:w="0" w:type="dxa"/>
            <w:right w:w="108" w:type="dxa"/>
          </w:tblCellMar>
        </w:tblPrEx>
        <w:tc>
          <w:p w14:paraId="3CB3481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申请人提交申请</w:t>
            </w:r>
          </w:p>
        </w:tc>
        <w:tc>
          <w:p w14:paraId="38764F7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峰值并发用户数≤1000人，单笔申请提交响应时间≤2秒（含前端校验）</w:t>
            </w:r>
          </w:p>
        </w:tc>
        <w:tc>
          <w:p w14:paraId="26CC69F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模拟1000用户同时提交申请，监控响应时间，需满足99%请求≤2秒</w:t>
            </w:r>
          </w:p>
        </w:tc>
      </w:tr>
      <w:tr w14:paraId="63439321">
        <w:tblPrEx>
          <w:tblCellMar>
            <w:top w:w="0" w:type="dxa"/>
            <w:left w:w="108" w:type="dxa"/>
            <w:bottom w:w="0" w:type="dxa"/>
            <w:right w:w="108" w:type="dxa"/>
          </w:tblCellMar>
        </w:tblPrEx>
        <w:tc>
          <w:p w14:paraId="46EB03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审核员审批申请</w:t>
            </w:r>
          </w:p>
        </w:tc>
        <w:tc>
          <w:p w14:paraId="32F780E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同时在线审核员≤50人，查看待办列表响应时间≤1秒，提交审批意见≤0.5秒</w:t>
            </w:r>
          </w:p>
        </w:tc>
        <w:tc>
          <w:p w14:paraId="78E97D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模拟50审核员同时操作，监控接口响应时间</w:t>
            </w:r>
          </w:p>
        </w:tc>
      </w:tr>
      <w:tr w14:paraId="297AD804">
        <w:tblPrEx>
          <w:tblCellMar>
            <w:top w:w="0" w:type="dxa"/>
            <w:left w:w="108" w:type="dxa"/>
            <w:bottom w:w="0" w:type="dxa"/>
            <w:right w:w="108" w:type="dxa"/>
          </w:tblCellMar>
        </w:tblPrEx>
        <w:tc>
          <w:p w14:paraId="4934C49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风控决策计算</w:t>
            </w:r>
          </w:p>
        </w:tc>
        <w:tc>
          <w:p w14:paraId="57E13B1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单笔申请风控决策响应时间≤2秒（含模型调用+结果生成），日均1000笔申请下无超时</w:t>
            </w:r>
          </w:p>
        </w:tc>
        <w:tc>
          <w:p w14:paraId="76EBF25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压测1000笔申请并发处理，监控风控模型响应时间</w:t>
            </w:r>
          </w:p>
        </w:tc>
      </w:tr>
      <w:tr w14:paraId="1BD7EC36">
        <w:tblPrEx>
          <w:tblCellMar>
            <w:top w:w="0" w:type="dxa"/>
            <w:left w:w="108" w:type="dxa"/>
            <w:bottom w:w="0" w:type="dxa"/>
            <w:right w:w="108" w:type="dxa"/>
          </w:tblCellMar>
        </w:tblPrEx>
        <w:tc>
          <w:p w14:paraId="59A0D5C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数据源接口调用</w:t>
            </w:r>
          </w:p>
        </w:tc>
        <w:tc>
          <w:p w14:paraId="63C983B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单数据源接口调用响应时间≤3秒，多数据源并行调用总时间≤5秒</w:t>
            </w:r>
          </w:p>
        </w:tc>
        <w:tc>
          <w:p w14:paraId="36A9F62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调用第三方数据源接口，统计1000次调用的平均响应时间</w:t>
            </w:r>
          </w:p>
        </w:tc>
      </w:tr>
      <w:bookmarkEnd w:id="51"/>
    </w:tbl>
    <w:p w14:paraId="17945851">
      <w:pPr>
        <w:pStyle w:val="8"/>
        <w:rPr>
          <w:rFonts w:hint="eastAsia" w:ascii="宋体" w:hAnsi="宋体" w:eastAsia="宋体" w:cs="宋体"/>
          <w:b w:val="0"/>
          <w:bCs w:val="0"/>
          <w:sz w:val="24"/>
          <w:szCs w:val="24"/>
          <w:lang w:val="en-US" w:eastAsia="zh-CN"/>
        </w:rPr>
      </w:pPr>
      <w:bookmarkStart w:id="52" w:name="Xbb3560bc2616e6951f68d5031e38d86f5ae203f"/>
      <w:r>
        <w:rPr>
          <w:rFonts w:hint="eastAsia" w:ascii="宋体" w:hAnsi="宋体" w:eastAsia="宋体" w:cs="宋体"/>
          <w:b w:val="0"/>
          <w:bCs w:val="0"/>
          <w:sz w:val="24"/>
          <w:szCs w:val="24"/>
          <w:lang w:val="en-US" w:eastAsia="zh-CN"/>
        </w:rPr>
        <w:t>6.1.2 容量与存储</w:t>
      </w:r>
    </w:p>
    <w:tbl>
      <w:tblPr>
        <w:tblStyle w:val="49"/>
        <w:tblW w:w="0" w:type="auto"/>
        <w:tblInd w:w="0" w:type="dxa"/>
        <w:tblLayout w:type="autofit"/>
        <w:tblCellMar>
          <w:top w:w="0" w:type="dxa"/>
          <w:left w:w="108" w:type="dxa"/>
          <w:bottom w:w="0" w:type="dxa"/>
          <w:right w:w="108" w:type="dxa"/>
        </w:tblCellMar>
      </w:tblPr>
      <w:tblGrid>
        <w:gridCol w:w="1649"/>
        <w:gridCol w:w="3003"/>
        <w:gridCol w:w="4062"/>
      </w:tblGrid>
      <w:tr w14:paraId="29FE735A">
        <w:tblPrEx>
          <w:tblCellMar>
            <w:top w:w="0" w:type="dxa"/>
            <w:left w:w="108" w:type="dxa"/>
            <w:bottom w:w="0" w:type="dxa"/>
            <w:right w:w="108" w:type="dxa"/>
          </w:tblCellMar>
        </w:tblPrEx>
        <w:trPr>
          <w:tblHeader/>
        </w:trPr>
        <w:tc>
          <w:p w14:paraId="15495DF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数据类型</w:t>
            </w:r>
          </w:p>
        </w:tc>
        <w:tc>
          <w:p w14:paraId="1E60082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容量需求</w:t>
            </w:r>
          </w:p>
        </w:tc>
        <w:tc>
          <w:p w14:paraId="06AB23A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存储策略</w:t>
            </w:r>
          </w:p>
        </w:tc>
      </w:tr>
      <w:tr w14:paraId="1DE064C1">
        <w:tblPrEx>
          <w:tblCellMar>
            <w:top w:w="0" w:type="dxa"/>
            <w:left w:w="108" w:type="dxa"/>
            <w:bottom w:w="0" w:type="dxa"/>
            <w:right w:w="108" w:type="dxa"/>
          </w:tblCellMar>
        </w:tblPrEx>
        <w:tc>
          <w:p w14:paraId="49361C5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申请人基本信息表</w:t>
            </w:r>
          </w:p>
        </w:tc>
        <w:tc>
          <w:p w14:paraId="03D6D73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单表最大行数≥1000万条，单条记录约1KB，总存储≥10GB</w:t>
            </w:r>
          </w:p>
        </w:tc>
        <w:tc>
          <w:p w14:paraId="329C325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按“申请年份”分表存储，每年1张表，历史数据（&gt;3年）归档至冷存储（阿里云OSS）</w:t>
            </w:r>
          </w:p>
        </w:tc>
      </w:tr>
      <w:tr w14:paraId="1D5DDC89">
        <w:tblPrEx>
          <w:tblCellMar>
            <w:top w:w="0" w:type="dxa"/>
            <w:left w:w="108" w:type="dxa"/>
            <w:bottom w:w="0" w:type="dxa"/>
            <w:right w:w="108" w:type="dxa"/>
          </w:tblCellMar>
        </w:tblPrEx>
        <w:tc>
          <w:p w14:paraId="79958D9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风控决策结果表</w:t>
            </w:r>
          </w:p>
        </w:tc>
        <w:tc>
          <w:p w14:paraId="4CF5216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单表最大行数≥5000万条，单条记录约2KB，总存储≥100GB</w:t>
            </w:r>
          </w:p>
        </w:tc>
        <w:tc>
          <w:p w14:paraId="0AB6610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按“申请日期”分表（每日1张表），支持按日期范围快速查询</w:t>
            </w:r>
          </w:p>
        </w:tc>
      </w:tr>
      <w:tr w14:paraId="32948106">
        <w:tblPrEx>
          <w:tblCellMar>
            <w:top w:w="0" w:type="dxa"/>
            <w:left w:w="108" w:type="dxa"/>
            <w:bottom w:w="0" w:type="dxa"/>
            <w:right w:w="108" w:type="dxa"/>
          </w:tblCellMar>
        </w:tblPrEx>
        <w:tc>
          <w:p w14:paraId="5FE9A25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系统操作日志表</w:t>
            </w:r>
          </w:p>
        </w:tc>
        <w:tc>
          <w:p w14:paraId="4DE3592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单表最大行数≥1亿条，单条记录约512B，总存储≥50GB</w:t>
            </w:r>
          </w:p>
        </w:tc>
        <w:tc>
          <w:p w14:paraId="3D97BC2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日志存储至阿里云SLS，保留1年，1年后按“月”压缩归档</w:t>
            </w:r>
          </w:p>
        </w:tc>
      </w:tr>
      <w:tr w14:paraId="67C92A69">
        <w:tblPrEx>
          <w:tblCellMar>
            <w:top w:w="0" w:type="dxa"/>
            <w:left w:w="108" w:type="dxa"/>
            <w:bottom w:w="0" w:type="dxa"/>
            <w:right w:w="108" w:type="dxa"/>
          </w:tblCellMar>
        </w:tblPrEx>
        <w:tc>
          <w:p w14:paraId="34589F3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申请人上传资料（OCR）</w:t>
            </w:r>
          </w:p>
        </w:tc>
        <w:tc>
          <w:p w14:paraId="17CB98C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单张图片≤500KB，日均上传≥2000张，年存储≥365GB</w:t>
            </w:r>
          </w:p>
        </w:tc>
        <w:tc>
          <w:p w14:paraId="11DF1ED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存储至MinIO，开启冗余备份（3副本），支持图片压缩（JPEG格式，压缩率50%）</w:t>
            </w:r>
          </w:p>
        </w:tc>
      </w:tr>
      <w:bookmarkEnd w:id="52"/>
    </w:tbl>
    <w:p w14:paraId="0E8F4B64">
      <w:pPr>
        <w:pStyle w:val="8"/>
        <w:rPr>
          <w:rFonts w:hint="eastAsia" w:ascii="宋体" w:hAnsi="宋体" w:eastAsia="宋体" w:cs="宋体"/>
          <w:b w:val="0"/>
          <w:bCs w:val="0"/>
          <w:sz w:val="24"/>
          <w:szCs w:val="24"/>
          <w:lang w:val="en-US" w:eastAsia="zh-CN"/>
        </w:rPr>
      </w:pPr>
      <w:bookmarkStart w:id="53" w:name="Xa4498e420599b7dd1863f6c773dfadde055aaba"/>
      <w:r>
        <w:rPr>
          <w:rFonts w:hint="eastAsia" w:ascii="宋体" w:hAnsi="宋体" w:eastAsia="宋体" w:cs="宋体"/>
          <w:b w:val="0"/>
          <w:bCs w:val="0"/>
          <w:sz w:val="24"/>
          <w:szCs w:val="24"/>
          <w:lang w:val="en-US" w:eastAsia="zh-CN"/>
        </w:rPr>
        <w:t>6.1.3 稳定性需求</w:t>
      </w:r>
    </w:p>
    <w:p w14:paraId="78A4F91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系统可用性：≥99.9%（每年 downtime≤8.76小时），凌晨2-4点可进行维护（不计入可用性统计）；</w:t>
      </w:r>
    </w:p>
    <w:p w14:paraId="28B61DE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容错性：单个微服务（如数据源接入服务）故障时，不影响其他服务（如风控决策服务），故障服务自动重启（重启时间≤30秒）；</w:t>
      </w:r>
    </w:p>
    <w:p w14:paraId="4D399D7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数据一致性：系统与核心信贷系统的数据同步延迟≤1分钟，同步失败时触发重试（3次），重试失败则通知管理员。</w:t>
      </w:r>
    </w:p>
    <w:bookmarkEnd w:id="50"/>
    <w:bookmarkEnd w:id="53"/>
    <w:p w14:paraId="7463568F">
      <w:pPr>
        <w:pStyle w:val="8"/>
        <w:rPr>
          <w:rFonts w:hint="eastAsia" w:ascii="宋体" w:hAnsi="宋体" w:eastAsia="宋体" w:cs="宋体"/>
          <w:b w:val="0"/>
          <w:bCs w:val="0"/>
          <w:sz w:val="24"/>
          <w:szCs w:val="24"/>
          <w:lang w:val="en-US" w:eastAsia="zh-CN"/>
        </w:rPr>
      </w:pPr>
      <w:bookmarkStart w:id="54" w:name="X9ef416234895fcec26251b6c1a5b5b2e7c0ac64"/>
      <w:r>
        <w:rPr>
          <w:rFonts w:hint="eastAsia" w:ascii="宋体" w:hAnsi="宋体" w:eastAsia="宋体" w:cs="宋体"/>
          <w:b w:val="0"/>
          <w:bCs w:val="0"/>
          <w:sz w:val="24"/>
          <w:szCs w:val="24"/>
          <w:lang w:val="en-US" w:eastAsia="zh-CN"/>
        </w:rPr>
        <w:t>6.2 安全与合规性需求</w:t>
      </w:r>
    </w:p>
    <w:p w14:paraId="64360A95">
      <w:pPr>
        <w:pStyle w:val="8"/>
        <w:rPr>
          <w:rFonts w:hint="eastAsia" w:ascii="宋体" w:hAnsi="宋体" w:eastAsia="宋体" w:cs="宋体"/>
          <w:b w:val="0"/>
          <w:bCs w:val="0"/>
          <w:sz w:val="24"/>
          <w:szCs w:val="24"/>
          <w:lang w:val="en-US" w:eastAsia="zh-CN"/>
        </w:rPr>
      </w:pPr>
      <w:bookmarkStart w:id="55" w:name="Xd3eb50107e6a18e9151317941363f592530d0cd"/>
      <w:r>
        <w:rPr>
          <w:rFonts w:hint="eastAsia" w:ascii="宋体" w:hAnsi="宋体" w:eastAsia="宋体" w:cs="宋体"/>
          <w:b w:val="0"/>
          <w:bCs w:val="0"/>
          <w:sz w:val="24"/>
          <w:szCs w:val="24"/>
          <w:lang w:val="en-US" w:eastAsia="zh-CN"/>
        </w:rPr>
        <w:t>6.2.1 数据安全</w:t>
      </w:r>
    </w:p>
    <w:p w14:paraId="62764B8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数据生命周期安全</w:t>
      </w:r>
    </w:p>
    <w:p w14:paraId="4608E41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采集：数据采集必须遵循“最小必要原则”，并在采集前获得申请人的明确、单独授权。授权协议需明确告知数据使用目的、范围及存储期限。</w:t>
      </w:r>
    </w:p>
    <w:p w14:paraId="0909D74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传输：</w:t>
      </w:r>
    </w:p>
    <w:p w14:paraId="227F5E2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所有内外接口必须使用TLS 1.3及以上版本的HTTPS协议进行传输层加密。</w:t>
      </w:r>
    </w:p>
    <w:p w14:paraId="1AE2219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敏感数据（如征信报告、银行卡号、身份信息）在应用层需进行国密SM4算法加密或等效强度的非对称加密（如RSA 2048位）。</w:t>
      </w:r>
    </w:p>
    <w:p w14:paraId="3BE30EE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存储：</w:t>
      </w:r>
    </w:p>
    <w:p w14:paraId="64BCF06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敏感个人信息的存储采用SM4算法加密，加密密钥由金融机构密钥管理系统（KMS） 统一管理，定期（每90天）轮换。</w:t>
      </w:r>
    </w:p>
    <w:p w14:paraId="31B4721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使用与展示：</w:t>
      </w:r>
    </w:p>
    <w:p w14:paraId="392EB9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严格执行数据脱敏策略。前端展示时，身份证号显示为110101********1234，银行卡号显示为**** **** **** 1234。</w:t>
      </w:r>
    </w:p>
    <w:p w14:paraId="2860207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内部系统（如审核员工作台）需根据“业务需要”和“最小权限”原则控制敏感信息的可见性（如普通审核员仅能看到脱敏后的关键指标，而非完整征信报告）。</w:t>
      </w:r>
    </w:p>
    <w:p w14:paraId="4EE6AD5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销毁：超出法定保存期限或经用户主动要求删除的数据，必须实现安全不可恢复的物理或逻辑销毁，并留存销毁记录。</w:t>
      </w:r>
    </w:p>
    <w:p w14:paraId="0826AB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数据访问控制</w:t>
      </w:r>
    </w:p>
    <w:p w14:paraId="34A59D2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实行基于角色（RBAC）与属性的动态访问控制。</w:t>
      </w:r>
    </w:p>
    <w:p w14:paraId="18745D9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批量导出、访问完整征信报告等高风险操作，必须经过“双人授权” 审批流程（如管理员发起，风控主管审批），并记录完整审计日志。</w:t>
      </w:r>
    </w:p>
    <w:p w14:paraId="30C4595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所有数据访问操作（查询、修改、导出）均需生成不可篡改的审计日志，内容至少包括：访问人、时间、IP地址、操作类型、数据范围，日志留存时间不少于5年。</w:t>
      </w:r>
    </w:p>
    <w:p w14:paraId="001C40C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数据备份与恢复</w:t>
      </w:r>
    </w:p>
    <w:p w14:paraId="365D096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执行每日全量备份与实时增量备份策略，备份数据在异地进行加密存储。</w:t>
      </w:r>
    </w:p>
    <w:p w14:paraId="4629E69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定期（至少每季度）进行数据恢复演练，确保在灾难情况下，核心业务数据RTO（恢复时间目标）≤1小时，RPO（恢复点目标）≤5分钟。</w:t>
      </w:r>
    </w:p>
    <w:bookmarkEnd w:id="55"/>
    <w:p w14:paraId="1CBC2C98">
      <w:pPr>
        <w:pStyle w:val="8"/>
        <w:rPr>
          <w:rFonts w:hint="eastAsia" w:ascii="宋体" w:hAnsi="宋体" w:eastAsia="宋体" w:cs="宋体"/>
          <w:b w:val="0"/>
          <w:bCs w:val="0"/>
          <w:sz w:val="24"/>
          <w:szCs w:val="24"/>
          <w:lang w:val="en-US" w:eastAsia="zh-CN"/>
        </w:rPr>
      </w:pPr>
      <w:bookmarkStart w:id="56" w:name="X08e9e7f626a8d3d55ca00e6af62af818725e500"/>
      <w:r>
        <w:rPr>
          <w:rFonts w:hint="eastAsia" w:ascii="宋体" w:hAnsi="宋体" w:eastAsia="宋体" w:cs="宋体"/>
          <w:b w:val="0"/>
          <w:bCs w:val="0"/>
          <w:sz w:val="24"/>
          <w:szCs w:val="24"/>
          <w:lang w:val="en-US" w:eastAsia="zh-CN"/>
        </w:rPr>
        <w:t>6.2.2 访问控制与审计</w:t>
      </w:r>
    </w:p>
    <w:p w14:paraId="51D670A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身份认证</w:t>
      </w:r>
    </w:p>
    <w:p w14:paraId="18D9557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所有用户（申请人、审核员、管理员）必须采用“账号密码+双因素认证（2FA）” 登录。2FA支持短信验证码、企业微信/钉钉扫码等方式。</w:t>
      </w:r>
    </w:p>
    <w:p w14:paraId="5FC386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密码策略：长度8-16位，必须包含大写字母、小写字母、数字和特殊字符；强制90天更换，且不能与最近3次使用的密码相同。</w:t>
      </w:r>
    </w:p>
    <w:p w14:paraId="5E67D0F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登录失败5次后，账户锁定1小时；检测到异地登录等异常行为时，触发二次验证。</w:t>
      </w:r>
    </w:p>
    <w:p w14:paraId="7467FD7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授权与会话管理</w:t>
      </w:r>
    </w:p>
    <w:p w14:paraId="7AEC0FB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采用RBAC（基于角色的访问控制） 模型，预设角色：申请人、普通审核员、审核主管、模型工程师、系统管理员。</w:t>
      </w:r>
    </w:p>
    <w:p w14:paraId="7AAF640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权限需细分至功能权限（如“提交审批”）与数据权限（如“仅可查看本分支机构申请”）。</w:t>
      </w:r>
    </w:p>
    <w:p w14:paraId="00E73A4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用户会话使用JWT令牌管理，审核员会话有效期为2小时，申请人会话有效期为30分钟，连续闲置15分钟则自动登出。</w:t>
      </w:r>
    </w:p>
    <w:p w14:paraId="5D9F7D5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安全审计</w:t>
      </w:r>
    </w:p>
    <w:p w14:paraId="4A7CBA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建立统一的安全信息与事件管理（SIEM） 机制，集中收集和分析系统日志、操作日志、安全日志。</w:t>
      </w:r>
    </w:p>
    <w:p w14:paraId="29C9C83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审计记录必须防篡改，可通过写入只读介质或使用区块链技术进行存证。</w:t>
      </w:r>
    </w:p>
    <w:p w14:paraId="0FF8DAA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定期（每月）生成安全审计报告，对异常操作、权限变更、安全事件进行复盘与追踪。</w:t>
      </w:r>
    </w:p>
    <w:bookmarkEnd w:id="56"/>
    <w:p w14:paraId="22952D13">
      <w:pPr>
        <w:pStyle w:val="8"/>
        <w:rPr>
          <w:rFonts w:hint="eastAsia" w:ascii="宋体" w:hAnsi="宋体" w:eastAsia="宋体" w:cs="宋体"/>
          <w:b w:val="0"/>
          <w:bCs w:val="0"/>
          <w:sz w:val="24"/>
          <w:szCs w:val="24"/>
          <w:lang w:val="en-US" w:eastAsia="zh-CN"/>
        </w:rPr>
      </w:pPr>
      <w:bookmarkStart w:id="57" w:name="Xa4bbde1fada40a3293913d91ab526ad409953b9"/>
      <w:r>
        <w:rPr>
          <w:rFonts w:hint="eastAsia" w:ascii="宋体" w:hAnsi="宋体" w:eastAsia="宋体" w:cs="宋体"/>
          <w:b w:val="0"/>
          <w:bCs w:val="0"/>
          <w:sz w:val="24"/>
          <w:szCs w:val="24"/>
          <w:lang w:val="en-US" w:eastAsia="zh-CN"/>
        </w:rPr>
        <w:t>6.2.3 系统与基础设施安全</w:t>
      </w:r>
    </w:p>
    <w:p w14:paraId="5D3D32A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漏洞与补丁管理</w:t>
      </w:r>
    </w:p>
    <w:p w14:paraId="0E0F322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建立漏洞管理全生命周期流程，每月进行一次全面的安全漏洞扫描。</w:t>
      </w:r>
    </w:p>
    <w:p w14:paraId="68B0F0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对发现的高危漏洞，需在24小时内完成修复；中危漏洞在72小时内修复。</w:t>
      </w:r>
    </w:p>
    <w:p w14:paraId="6802FBB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系统部署Web应用防火墙（WAF），规则每周更新，有效防御SQL注入、XSS、CSRF等常见攻击。</w:t>
      </w:r>
    </w:p>
    <w:p w14:paraId="5F3D9D1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网络与主机安全</w:t>
      </w:r>
    </w:p>
    <w:p w14:paraId="6C68E77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遵循最小开放原则，服务器仅开放业务必需的端口（如80、443、3306）。</w:t>
      </w:r>
    </w:p>
    <w:p w14:paraId="2988B20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部署下一代防火墙（NGFW） 和入侵检测/防御系统（IDS/IPS）。</w:t>
      </w:r>
    </w:p>
    <w:p w14:paraId="3371C6B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对所有外部接口（特别是数据源接口）实施API网关统一管理，并配置严格的频率限制（如单IP每分钟≤100次请求）和IP白名单机制。</w:t>
      </w:r>
    </w:p>
    <w:bookmarkEnd w:id="57"/>
    <w:p w14:paraId="7FEEB1F8">
      <w:pPr>
        <w:pStyle w:val="8"/>
        <w:rPr>
          <w:rFonts w:hint="eastAsia" w:ascii="宋体" w:hAnsi="宋体" w:eastAsia="宋体" w:cs="宋体"/>
          <w:b w:val="0"/>
          <w:bCs w:val="0"/>
          <w:sz w:val="24"/>
          <w:szCs w:val="24"/>
          <w:lang w:val="en-US" w:eastAsia="zh-CN"/>
        </w:rPr>
      </w:pPr>
      <w:bookmarkStart w:id="58" w:name="X322c383d0cd047c5b85abfda357cdcd85ebd2d4"/>
      <w:r>
        <w:rPr>
          <w:rFonts w:hint="eastAsia" w:ascii="宋体" w:hAnsi="宋体" w:eastAsia="宋体" w:cs="宋体"/>
          <w:b w:val="0"/>
          <w:bCs w:val="0"/>
          <w:sz w:val="24"/>
          <w:szCs w:val="24"/>
          <w:lang w:val="en-US" w:eastAsia="zh-CN"/>
        </w:rPr>
        <w:t>6.2.4 合规性</w:t>
      </w:r>
    </w:p>
    <w:p w14:paraId="6B8638F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监管合规</w:t>
      </w:r>
    </w:p>
    <w:p w14:paraId="1B234F2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《个人信息保护法》：</w:t>
      </w:r>
    </w:p>
    <w:p w14:paraId="0FDC8F9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实现个人信息主体权利响应机制，支持用户查询、更正、删除其个人信息，以及撤回授权。</w:t>
      </w:r>
    </w:p>
    <w:p w14:paraId="6DE3DF9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建立个人信息保护影响评估（PIA） 制度，并在系统功能发生重大变更时重新评估。</w:t>
      </w:r>
    </w:p>
    <w:p w14:paraId="624A996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《个人贷款管理暂行办法》：</w:t>
      </w:r>
    </w:p>
    <w:p w14:paraId="411D3FE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确保所有贷款审批记录、风控决策过程、合同文件等关键数据留存时间不少于5年。</w:t>
      </w:r>
    </w:p>
    <w:p w14:paraId="43C578A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网络安全等级保护：</w:t>
      </w:r>
    </w:p>
    <w:p w14:paraId="247002E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系统设计、开发、运维需全面遵循网络安全等级保护2.0第三级要求，并在上线后通过测评。</w:t>
      </w:r>
    </w:p>
    <w:p w14:paraId="29FAD5F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审计与监管对接</w:t>
      </w:r>
    </w:p>
    <w:p w14:paraId="6277568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系统需为内部审计与外部监管机构提供标准化的数据查询接口，能按指定条件（如时间范围、用户标识）导出审批记录、风控数据与操作日志。</w:t>
      </w:r>
    </w:p>
    <w:p w14:paraId="4DF63C4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所有合规性设计与实施细节需在《合规审计指南》中完整记录。</w:t>
      </w:r>
    </w:p>
    <w:bookmarkEnd w:id="54"/>
    <w:bookmarkEnd w:id="58"/>
    <w:p w14:paraId="3621FFC4">
      <w:pPr>
        <w:pStyle w:val="8"/>
        <w:rPr>
          <w:rFonts w:hint="eastAsia" w:ascii="宋体" w:hAnsi="宋体" w:eastAsia="宋体" w:cs="宋体"/>
          <w:b w:val="0"/>
          <w:bCs w:val="0"/>
          <w:sz w:val="24"/>
          <w:szCs w:val="24"/>
          <w:lang w:val="en-US" w:eastAsia="zh-CN"/>
        </w:rPr>
      </w:pPr>
      <w:bookmarkStart w:id="59" w:name="X87f39aebcff580a7b0b517dfe5883dea2a527ec"/>
      <w:r>
        <w:rPr>
          <w:rFonts w:hint="eastAsia" w:ascii="宋体" w:hAnsi="宋体" w:eastAsia="宋体" w:cs="宋体"/>
          <w:b w:val="0"/>
          <w:bCs w:val="0"/>
          <w:sz w:val="24"/>
          <w:szCs w:val="24"/>
          <w:lang w:val="en-US" w:eastAsia="zh-CN"/>
        </w:rPr>
        <w:t>6.3 软件质量属性</w:t>
      </w:r>
    </w:p>
    <w:tbl>
      <w:tblPr>
        <w:tblStyle w:val="49"/>
        <w:tblW w:w="0" w:type="auto"/>
        <w:tblInd w:w="0" w:type="dxa"/>
        <w:tblLayout w:type="autofit"/>
        <w:tblCellMar>
          <w:top w:w="0" w:type="dxa"/>
          <w:left w:w="108" w:type="dxa"/>
          <w:bottom w:w="0" w:type="dxa"/>
          <w:right w:w="108" w:type="dxa"/>
        </w:tblCellMar>
      </w:tblPr>
      <w:tblGrid>
        <w:gridCol w:w="569"/>
        <w:gridCol w:w="4878"/>
        <w:gridCol w:w="3267"/>
      </w:tblGrid>
      <w:tr w14:paraId="51F1545E">
        <w:tblPrEx>
          <w:tblCellMar>
            <w:top w:w="0" w:type="dxa"/>
            <w:left w:w="108" w:type="dxa"/>
            <w:bottom w:w="0" w:type="dxa"/>
            <w:right w:w="108" w:type="dxa"/>
          </w:tblCellMar>
        </w:tblPrEx>
        <w:trPr>
          <w:tblHeader/>
        </w:trPr>
        <w:tc>
          <w:p w14:paraId="1081956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质量属性</w:t>
            </w:r>
          </w:p>
        </w:tc>
        <w:tc>
          <w:p w14:paraId="3CFF79E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需求描述</w:t>
            </w:r>
          </w:p>
        </w:tc>
        <w:tc>
          <w:p w14:paraId="7814D2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验证方法</w:t>
            </w:r>
          </w:p>
        </w:tc>
      </w:tr>
      <w:tr w14:paraId="1FB511FB">
        <w:tblPrEx>
          <w:tblCellMar>
            <w:top w:w="0" w:type="dxa"/>
            <w:left w:w="108" w:type="dxa"/>
            <w:bottom w:w="0" w:type="dxa"/>
            <w:right w:w="108" w:type="dxa"/>
          </w:tblCellMar>
        </w:tblPrEx>
        <w:tc>
          <w:p w14:paraId="564766C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可用性</w:t>
            </w:r>
          </w:p>
        </w:tc>
        <w:tc>
          <w:p w14:paraId="632A0D0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系统全年可用性≥99.9%；2. 故障恢复时间≤30分钟（服务故障）/1小时（数据故障）；3. 提供“降级方案”（如数据源全部故障时，仅支持线下申请录入）</w:t>
            </w:r>
          </w:p>
        </w:tc>
        <w:tc>
          <w:p w14:paraId="0BF09EB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统计年度downtime；2. 模拟服务/数据故障，测试恢复时间；3. 验证降级方案有效性</w:t>
            </w:r>
          </w:p>
        </w:tc>
      </w:tr>
      <w:tr w14:paraId="4190F8D8">
        <w:tblPrEx>
          <w:tblCellMar>
            <w:top w:w="0" w:type="dxa"/>
            <w:left w:w="108" w:type="dxa"/>
            <w:bottom w:w="0" w:type="dxa"/>
            <w:right w:w="108" w:type="dxa"/>
          </w:tblCellMar>
        </w:tblPrEx>
        <w:tc>
          <w:p w14:paraId="10326C6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可扩展性</w:t>
            </w:r>
          </w:p>
        </w:tc>
        <w:tc>
          <w:p w14:paraId="1D4C62D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支持新增数据源接口（开发周期≤3天/个）；2. 支持用户量增长（从日均1000用户扩展至10万用户，无需重构核心代码）；3. 支持风控模型新增算法（如引入AI大模型）</w:t>
            </w:r>
          </w:p>
        </w:tc>
        <w:tc>
          <w:p w14:paraId="4582BAD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新增1个测试数据源接口，统计开发时间；2. 压测10万用户并发，观察系统性能；3. 集成测试AI模型接口</w:t>
            </w:r>
          </w:p>
        </w:tc>
      </w:tr>
      <w:tr w14:paraId="0D3B1675">
        <w:tblPrEx>
          <w:tblCellMar>
            <w:top w:w="0" w:type="dxa"/>
            <w:left w:w="108" w:type="dxa"/>
            <w:bottom w:w="0" w:type="dxa"/>
            <w:right w:w="108" w:type="dxa"/>
          </w:tblCellMar>
        </w:tblPrEx>
        <w:tc>
          <w:p w14:paraId="750FEE6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可维护性</w:t>
            </w:r>
          </w:p>
        </w:tc>
        <w:tc>
          <w:p w14:paraId="456A932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代码注释率≥80%，遵循阿里巴巴Java开发规范；2. 系统日志支持“按模块/级别”筛选，便于问题定位；3. 核心功能模块（如风控决策）支持“插件化”，便于修改</w:t>
            </w:r>
          </w:p>
        </w:tc>
        <w:tc>
          <w:p w14:paraId="22A455A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检查代码注释与规范符合性；2. 模拟系统报错，测试日志定位效率；3. 修改风控模型调用逻辑，测试插件化可行性</w:t>
            </w:r>
          </w:p>
        </w:tc>
      </w:tr>
      <w:tr w14:paraId="5ED2E98B">
        <w:tblPrEx>
          <w:tblCellMar>
            <w:top w:w="0" w:type="dxa"/>
            <w:left w:w="108" w:type="dxa"/>
            <w:bottom w:w="0" w:type="dxa"/>
            <w:right w:w="108" w:type="dxa"/>
          </w:tblCellMar>
        </w:tblPrEx>
        <w:tc>
          <w:p w14:paraId="0FF7C5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易用性</w:t>
            </w:r>
          </w:p>
        </w:tc>
        <w:tc>
          <w:p w14:paraId="27723E8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申请人完成贷款申请流程≤5步，平均耗时≤10分钟；2. 审核员熟悉基本操作≤1小时（基于操作手册）；3. 系统提供“在线帮助”（如操作指引弹窗、FAQ）</w:t>
            </w:r>
          </w:p>
        </w:tc>
        <w:tc>
          <w:p w14:paraId="3766AC1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招募100名测试用户，统计申请步骤与耗时；2. 培训10名新审核员，统计上手时间；3. 验证在线帮助覆盖率</w:t>
            </w:r>
          </w:p>
        </w:tc>
      </w:tr>
      <w:tr w14:paraId="676E6603">
        <w:tblPrEx>
          <w:tblCellMar>
            <w:top w:w="0" w:type="dxa"/>
            <w:left w:w="108" w:type="dxa"/>
            <w:bottom w:w="0" w:type="dxa"/>
            <w:right w:w="108" w:type="dxa"/>
          </w:tblCellMar>
        </w:tblPrEx>
        <w:tc>
          <w:p w14:paraId="0C4D8C4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兼容性</w:t>
            </w:r>
          </w:p>
        </w:tc>
        <w:tc>
          <w:p w14:paraId="5881292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审核员端兼容Chrome 90+、Edge 90+、Firefox 88+浏览器；2. 申请人端H5适配≥95%的手机型号（iOS/Android）；3. 与核心信贷系统V5.0/V6.0版本兼容</w:t>
            </w:r>
          </w:p>
        </w:tc>
        <w:tc>
          <w:p w14:paraId="625DF8C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在不同浏览器测试功能完整性；2. 用主流手机型号（≥20款）测试H5适配；3. 对接核心系统两个版本，测试数据同步</w:t>
            </w:r>
          </w:p>
        </w:tc>
      </w:tr>
      <w:bookmarkEnd w:id="59"/>
    </w:tbl>
    <w:p w14:paraId="442E19A7">
      <w:pPr>
        <w:pStyle w:val="8"/>
        <w:rPr>
          <w:rFonts w:hint="eastAsia" w:ascii="宋体" w:hAnsi="宋体" w:eastAsia="宋体" w:cs="宋体"/>
          <w:b w:val="0"/>
          <w:bCs w:val="0"/>
          <w:sz w:val="24"/>
          <w:szCs w:val="24"/>
          <w:lang w:val="en-US" w:eastAsia="zh-CN"/>
        </w:rPr>
      </w:pPr>
      <w:bookmarkStart w:id="60" w:name="Xdc89c8442fae30f438bcf98c3792df47b0aea60"/>
      <w:r>
        <w:rPr>
          <w:rFonts w:hint="eastAsia" w:ascii="宋体" w:hAnsi="宋体" w:eastAsia="宋体" w:cs="宋体"/>
          <w:b w:val="0"/>
          <w:bCs w:val="0"/>
          <w:sz w:val="24"/>
          <w:szCs w:val="24"/>
          <w:lang w:val="en-US" w:eastAsia="zh-CN"/>
        </w:rPr>
        <w:t>6.4 业务规则</w:t>
      </w:r>
    </w:p>
    <w:p w14:paraId="19C06586">
      <w:pPr>
        <w:pStyle w:val="8"/>
        <w:rPr>
          <w:rFonts w:hint="eastAsia" w:ascii="宋体" w:hAnsi="宋体" w:eastAsia="宋体" w:cs="宋体"/>
          <w:b w:val="0"/>
          <w:bCs w:val="0"/>
          <w:sz w:val="24"/>
          <w:szCs w:val="24"/>
          <w:lang w:val="en-US" w:eastAsia="zh-CN"/>
        </w:rPr>
      </w:pPr>
      <w:bookmarkStart w:id="61" w:name="X8b00c2a729e86d8983808020c01753b3d82ea56"/>
      <w:r>
        <w:rPr>
          <w:rFonts w:hint="eastAsia" w:ascii="宋体" w:hAnsi="宋体" w:eastAsia="宋体" w:cs="宋体"/>
          <w:b w:val="0"/>
          <w:bCs w:val="0"/>
          <w:sz w:val="24"/>
          <w:szCs w:val="24"/>
          <w:lang w:val="en-US" w:eastAsia="zh-CN"/>
        </w:rPr>
        <w:t>6.4.1 贷款申请规则</w:t>
      </w:r>
    </w:p>
    <w:p w14:paraId="0D77ADD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申请人资格规则：</w:t>
      </w:r>
    </w:p>
    <w:p w14:paraId="28D9423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年龄：18周岁（含）至65周岁（含）。</w:t>
      </w:r>
    </w:p>
    <w:p w14:paraId="76776A7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身份：中国大陆居民，持有有效二代身份证并通过公安接口验证。</w:t>
      </w:r>
    </w:p>
    <w:p w14:paraId="75F2B6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信用：近1年征信逾期次数≤2次，且无“连三累六”记录。</w:t>
      </w:r>
    </w:p>
    <w:p w14:paraId="3CFECA5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负债：当前总负债金额 ≤ 家庭年收入的50%（系统通过消费数据等进行辅助校验）。</w:t>
      </w:r>
    </w:p>
    <w:p w14:paraId="17D0F7B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贷款参数规则：</w:t>
      </w:r>
    </w:p>
    <w:p w14:paraId="0E836B2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金额：1,000元 - 500,000元。</w:t>
      </w:r>
    </w:p>
    <w:p w14:paraId="1E75040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期限：3、6、12、24、36个月。</w:t>
      </w:r>
    </w:p>
    <w:p w14:paraId="68AD62C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利率：执行浮动利率，基准年利率4.85%，根据风险评分调整，且最终年化利率 ≤ 同期LPR的1.5倍。</w:t>
      </w:r>
    </w:p>
    <w:p w14:paraId="6F23A8C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用途：仅限于“装修、购车、教育、医疗”等个人消费领域，禁止流入房地产、股市，申请人还需填写用途说明，并在贷中受到系统监控。</w:t>
      </w:r>
    </w:p>
    <w:bookmarkEnd w:id="61"/>
    <w:p w14:paraId="354A053F">
      <w:pPr>
        <w:pStyle w:val="8"/>
        <w:rPr>
          <w:rFonts w:hint="eastAsia" w:ascii="宋体" w:hAnsi="宋体" w:eastAsia="宋体" w:cs="宋体"/>
          <w:b w:val="0"/>
          <w:bCs w:val="0"/>
          <w:sz w:val="24"/>
          <w:szCs w:val="24"/>
          <w:lang w:val="en-US" w:eastAsia="zh-CN"/>
        </w:rPr>
      </w:pPr>
      <w:bookmarkStart w:id="62" w:name="X96150dea1ffb8ecc9e7d26bdff7091ee3e8200b"/>
      <w:r>
        <w:rPr>
          <w:rFonts w:hint="eastAsia" w:ascii="宋体" w:hAnsi="宋体" w:eastAsia="宋体" w:cs="宋体"/>
          <w:b w:val="0"/>
          <w:bCs w:val="0"/>
          <w:sz w:val="24"/>
          <w:szCs w:val="24"/>
          <w:lang w:val="en-US" w:eastAsia="zh-CN"/>
        </w:rPr>
        <w:t>6.4.2 风控决策规则</w:t>
      </w:r>
    </w:p>
    <w:p w14:paraId="7F2B866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风险阈值：评分≥600通过；500-599人工复核；&lt;500拒绝。金额&gt;30万时，阈值上浮20分。</w:t>
      </w:r>
    </w:p>
    <w:p w14:paraId="6F11CB2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数据源优先级：央行征信（权重60%）&gt; 公安身份（20%）&gt; 芝麻信用（10%）= 消费数据（10%），核心数据源缺失（如征信数据获取失败）则直接拒绝申请；辅助数据源缺失则用默认值+权重调整计算评分。</w:t>
      </w:r>
    </w:p>
    <w:bookmarkEnd w:id="62"/>
    <w:p w14:paraId="02E875CC">
      <w:pPr>
        <w:pStyle w:val="8"/>
        <w:rPr>
          <w:rFonts w:hint="eastAsia" w:ascii="宋体" w:hAnsi="宋体" w:eastAsia="宋体" w:cs="宋体"/>
          <w:b w:val="0"/>
          <w:bCs w:val="0"/>
          <w:sz w:val="24"/>
          <w:szCs w:val="24"/>
          <w:lang w:val="en-US" w:eastAsia="zh-CN"/>
        </w:rPr>
      </w:pPr>
      <w:bookmarkStart w:id="63" w:name="X4382321bb6525aee96d52eba5b6a33046d84393"/>
      <w:r>
        <w:rPr>
          <w:rFonts w:hint="eastAsia" w:ascii="宋体" w:hAnsi="宋体" w:eastAsia="宋体" w:cs="宋体"/>
          <w:b w:val="0"/>
          <w:bCs w:val="0"/>
          <w:sz w:val="24"/>
          <w:szCs w:val="24"/>
          <w:lang w:val="en-US" w:eastAsia="zh-CN"/>
        </w:rPr>
        <w:t>6.4.3 审批与放款规则</w:t>
      </w:r>
    </w:p>
    <w:p w14:paraId="041FA0F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双人复核：普通审核员审批需两人一致，否则升级至主管审批。</w:t>
      </w:r>
    </w:p>
    <w:p w14:paraId="66603AB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审批时限：普通审核员8小时，主管4小时，超时自动拒绝。</w:t>
      </w:r>
    </w:p>
    <w:p w14:paraId="070F81D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放款校验：必须为申请人本人储蓄卡，通过银联接口验证。</w:t>
      </w:r>
    </w:p>
    <w:p w14:paraId="3DE6BFA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放款失败处理：如银行卡状态异常导致放款失败，系统通知申请人修改银行卡信息，修改后重新发起放款，重试次数≤3次，仍失败则终止放款，记录失败原因。</w:t>
      </w:r>
    </w:p>
    <w:bookmarkEnd w:id="63"/>
    <w:p w14:paraId="6D6AF6B6">
      <w:pPr>
        <w:pStyle w:val="8"/>
        <w:rPr>
          <w:rFonts w:hint="eastAsia" w:ascii="宋体" w:hAnsi="宋体" w:eastAsia="宋体" w:cs="宋体"/>
          <w:b w:val="0"/>
          <w:bCs w:val="0"/>
          <w:sz w:val="24"/>
          <w:szCs w:val="24"/>
          <w:lang w:val="en-US" w:eastAsia="zh-CN"/>
        </w:rPr>
      </w:pPr>
      <w:bookmarkStart w:id="64" w:name="Xc8297f4f9b86f63020ac643b6fa3b8ae2909a0e"/>
      <w:r>
        <w:rPr>
          <w:rFonts w:hint="eastAsia" w:ascii="宋体" w:hAnsi="宋体" w:eastAsia="宋体" w:cs="宋体"/>
          <w:b w:val="0"/>
          <w:bCs w:val="0"/>
          <w:sz w:val="24"/>
          <w:szCs w:val="24"/>
          <w:lang w:val="en-US" w:eastAsia="zh-CN"/>
        </w:rPr>
        <w:t>6.5.4 贷后管理规则</w:t>
      </w:r>
    </w:p>
    <w:p w14:paraId="23ED2C3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逾期分级预警：1-3天（短信提醒）、4-7天（短信及催收）、8-30天（冻结后续贷款资格）、&gt;30天（上报征信系统）。</w:t>
      </w:r>
    </w:p>
    <w:p w14:paraId="6A25AB5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用途监控：发现资金流入禁止领域，通知申请人整改，整改无效则提前收回贷款，并按合同收取违约金。</w:t>
      </w:r>
    </w:p>
    <w:bookmarkEnd w:id="60"/>
    <w:bookmarkEnd w:id="64"/>
    <w:p w14:paraId="064DC107">
      <w:pPr>
        <w:pStyle w:val="8"/>
        <w:rPr>
          <w:rFonts w:hint="eastAsia" w:ascii="宋体" w:hAnsi="宋体" w:eastAsia="宋体" w:cs="宋体"/>
          <w:b w:val="0"/>
          <w:bCs w:val="0"/>
          <w:sz w:val="24"/>
          <w:szCs w:val="24"/>
          <w:lang w:val="en-US" w:eastAsia="zh-CN"/>
        </w:rPr>
      </w:pPr>
      <w:bookmarkStart w:id="65" w:name="X0eaaa5a7a575b351784c36846582c81f859ec73"/>
      <w:r>
        <w:rPr>
          <w:rFonts w:hint="eastAsia" w:ascii="宋体" w:hAnsi="宋体" w:eastAsia="宋体" w:cs="宋体"/>
          <w:b w:val="0"/>
          <w:bCs w:val="0"/>
          <w:sz w:val="24"/>
          <w:szCs w:val="24"/>
          <w:lang w:val="en-US" w:eastAsia="zh-CN"/>
        </w:rPr>
        <w:t>6.5 用户文档</w:t>
      </w:r>
    </w:p>
    <w:tbl>
      <w:tblPr>
        <w:tblStyle w:val="49"/>
        <w:tblW w:w="0" w:type="auto"/>
        <w:tblInd w:w="0" w:type="dxa"/>
        <w:tblLayout w:type="autofit"/>
        <w:tblCellMar>
          <w:top w:w="0" w:type="dxa"/>
          <w:left w:w="108" w:type="dxa"/>
          <w:bottom w:w="0" w:type="dxa"/>
          <w:right w:w="108" w:type="dxa"/>
        </w:tblCellMar>
      </w:tblPr>
      <w:tblGrid>
        <w:gridCol w:w="1514"/>
        <w:gridCol w:w="1088"/>
        <w:gridCol w:w="1318"/>
        <w:gridCol w:w="4794"/>
      </w:tblGrid>
      <w:tr w14:paraId="1775DD43">
        <w:tblPrEx>
          <w:tblCellMar>
            <w:top w:w="0" w:type="dxa"/>
            <w:left w:w="108" w:type="dxa"/>
            <w:bottom w:w="0" w:type="dxa"/>
            <w:right w:w="108" w:type="dxa"/>
          </w:tblCellMar>
        </w:tblPrEx>
        <w:trPr>
          <w:tblHeader/>
        </w:trPr>
        <w:tc>
          <w:p w14:paraId="0068FD4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文档名称</w:t>
            </w:r>
          </w:p>
        </w:tc>
        <w:tc>
          <w:p w14:paraId="4DDDC5C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核心受众</w:t>
            </w:r>
          </w:p>
        </w:tc>
        <w:tc>
          <w:p w14:paraId="6D792E1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交付形式</w:t>
            </w:r>
          </w:p>
        </w:tc>
        <w:tc>
          <w:p w14:paraId="7FE6378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核心内容（修订完善后）</w:t>
            </w:r>
          </w:p>
        </w:tc>
      </w:tr>
      <w:tr w14:paraId="04998F00">
        <w:tblPrEx>
          <w:tblCellMar>
            <w:top w:w="0" w:type="dxa"/>
            <w:left w:w="108" w:type="dxa"/>
            <w:bottom w:w="0" w:type="dxa"/>
            <w:right w:w="108" w:type="dxa"/>
          </w:tblCellMar>
        </w:tblPrEx>
        <w:tc>
          <w:p w14:paraId="22AD42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《系统安装部署指南》</w:t>
            </w:r>
          </w:p>
        </w:tc>
        <w:tc>
          <w:p w14:paraId="5D7C05D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系统运维人员</w:t>
            </w:r>
          </w:p>
        </w:tc>
        <w:tc>
          <w:p w14:paraId="7C4CEAA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电子(PDF) + 纸质</w:t>
            </w:r>
          </w:p>
        </w:tc>
        <w:tc>
          <w:p w14:paraId="2FF194C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环境配置：硬件推荐配置（需补充）、OS、中间件、依赖系统。</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 部署流程：微服务编排、数据库初始化脚本、配置文件说明。</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3. 安全基线：系统安全配置 Checklist（如防火墙规则、证书安装）。</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4. 监控集成：与现有监控、日志平台的对接指南。</w:t>
            </w:r>
          </w:p>
        </w:tc>
      </w:tr>
      <w:tr w14:paraId="127D6515">
        <w:tblPrEx>
          <w:tblCellMar>
            <w:top w:w="0" w:type="dxa"/>
            <w:left w:w="108" w:type="dxa"/>
            <w:bottom w:w="0" w:type="dxa"/>
            <w:right w:w="108" w:type="dxa"/>
          </w:tblCellMar>
        </w:tblPrEx>
        <w:tc>
          <w:p w14:paraId="6FF4B27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《个人贷款申请人操作手册》</w:t>
            </w:r>
          </w:p>
        </w:tc>
        <w:tc>
          <w:p w14:paraId="7024C50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个人贷款申请人</w:t>
            </w:r>
          </w:p>
        </w:tc>
        <w:tc>
          <w:p w14:paraId="18FA7E4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在线帮助(H5)</w:t>
            </w:r>
          </w:p>
        </w:tc>
        <w:tc>
          <w:p w14:paraId="2D49519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注册与认证：步骤、常见问题（收不到验证码等）。</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 申请流程：分步图文指引、资料拍摄技巧。</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3. 授权说明：以通俗语言解释各数据源的用途与法律依据。</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4. 权利告知：明确告知用户如何行使查询、更正、删除、撤回授权等权利。</w:t>
            </w:r>
          </w:p>
        </w:tc>
      </w:tr>
      <w:tr w14:paraId="22E64F72">
        <w:tblPrEx>
          <w:tblCellMar>
            <w:top w:w="0" w:type="dxa"/>
            <w:left w:w="108" w:type="dxa"/>
            <w:bottom w:w="0" w:type="dxa"/>
            <w:right w:w="108" w:type="dxa"/>
          </w:tblCellMar>
        </w:tblPrEx>
        <w:tc>
          <w:p w14:paraId="7EE2004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《信贷审核员操作手册》</w:t>
            </w:r>
          </w:p>
        </w:tc>
        <w:tc>
          <w:p w14:paraId="27E60E7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信贷审核员</w:t>
            </w:r>
          </w:p>
        </w:tc>
        <w:tc>
          <w:p w14:paraId="42594A8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电子(PDF) + 在线</w:t>
            </w:r>
          </w:p>
        </w:tc>
        <w:tc>
          <w:p w14:paraId="043D1B3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工作台详解：功能模块、布局、快捷键。</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 审核标准：风控报告解读指南、各类风险点的核实方法。</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3. 合规操作：明确禁止行为（如私自导出数据）、双人复核流程。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4. 应急处理：系统异常时的上报与处理流程。</w:t>
            </w:r>
          </w:p>
        </w:tc>
      </w:tr>
      <w:tr w14:paraId="65F56F3E">
        <w:tblPrEx>
          <w:tblCellMar>
            <w:top w:w="0" w:type="dxa"/>
            <w:left w:w="108" w:type="dxa"/>
            <w:bottom w:w="0" w:type="dxa"/>
            <w:right w:w="108" w:type="dxa"/>
          </w:tblCellMar>
        </w:tblPrEx>
        <w:tc>
          <w:p w14:paraId="0E13F86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《风控模型管理手册》</w:t>
            </w:r>
          </w:p>
        </w:tc>
        <w:tc>
          <w:p w14:paraId="3EB2C1A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风控模型工程师</w:t>
            </w:r>
          </w:p>
        </w:tc>
        <w:tc>
          <w:p w14:paraId="29E41CA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电子(PDF/内部Wiki)</w:t>
            </w:r>
          </w:p>
        </w:tc>
        <w:tc>
          <w:p w14:paraId="678C35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模型全生命周期管理：从开发、测试、部署、上线到回滚的流程。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 系统操作：模型上传、参数调整（含影响评估）、版本控制、回测执行。</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3. 数据使用规范：训练数据获取、使用的合规与安全要求。</w:t>
            </w:r>
          </w:p>
        </w:tc>
      </w:tr>
      <w:tr w14:paraId="6A52000D">
        <w:tblPrEx>
          <w:tblCellMar>
            <w:top w:w="0" w:type="dxa"/>
            <w:left w:w="108" w:type="dxa"/>
            <w:bottom w:w="0" w:type="dxa"/>
            <w:right w:w="108" w:type="dxa"/>
          </w:tblCellMar>
        </w:tblPrEx>
        <w:tc>
          <w:p w14:paraId="05E6D35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《系统运维与安全手册》</w:t>
            </w:r>
          </w:p>
        </w:tc>
        <w:tc>
          <w:p w14:paraId="080EF14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系统管理员/运维人员</w:t>
            </w:r>
          </w:p>
        </w:tc>
        <w:tc>
          <w:p w14:paraId="4D6A1D9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电子(PDF/内部Wiki)</w:t>
            </w:r>
          </w:p>
        </w:tc>
        <w:tc>
          <w:p w14:paraId="44ADCB0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日常运维：用户与权限管理、日志查询分析、性能监控。</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 安全运维：漏洞扫描与修复流程、安全事件应急响应预案（含上报流程）。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3. 备份与恢复：备份策略验证、灾难恢复详细步骤。</w:t>
            </w:r>
          </w:p>
        </w:tc>
      </w:tr>
      <w:tr w14:paraId="3F02EE77">
        <w:tblPrEx>
          <w:tblCellMar>
            <w:top w:w="0" w:type="dxa"/>
            <w:left w:w="108" w:type="dxa"/>
            <w:bottom w:w="0" w:type="dxa"/>
            <w:right w:w="108" w:type="dxa"/>
          </w:tblCellMar>
        </w:tblPrEx>
        <w:tc>
          <w:p w14:paraId="64BDFB5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《合规与审计指南》</w:t>
            </w:r>
          </w:p>
        </w:tc>
        <w:tc>
          <w:p w14:paraId="008BC6B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合规/审计人员</w:t>
            </w:r>
          </w:p>
        </w:tc>
        <w:tc>
          <w:p w14:paraId="588373E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电子(PDF)</w:t>
            </w:r>
          </w:p>
        </w:tc>
        <w:tc>
          <w:p w14:paraId="2A7DF1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系统合规性设计映射：将系统功能、安全控制点与《个信法》、《贷管办法》、等保2.0三级要求条款逐一对应。</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 审计数据接口说明：如何通过系统获取审计所需的全量数据。</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3. 内部审计流程：定期审计的检查清单与方法。</w:t>
            </w:r>
          </w:p>
        </w:tc>
      </w:tr>
    </w:tbl>
    <w:p w14:paraId="3012688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所有文档须包含版本号、修订历史和作者信息，并建立定期评审更新机制。</w:t>
      </w:r>
    </w:p>
    <w:bookmarkEnd w:id="49"/>
    <w:bookmarkEnd w:id="65"/>
    <w:p w14:paraId="687AB21E">
      <w:pPr>
        <w:pStyle w:val="8"/>
        <w:rPr>
          <w:rFonts w:hint="eastAsia" w:ascii="宋体" w:hAnsi="宋体" w:eastAsia="宋体" w:cs="宋体"/>
          <w:b w:val="0"/>
          <w:bCs w:val="0"/>
          <w:sz w:val="24"/>
          <w:szCs w:val="24"/>
          <w:lang w:val="en-US" w:eastAsia="zh-CN"/>
        </w:rPr>
      </w:pPr>
      <w:bookmarkStart w:id="66" w:name="X6838c5d71c663126217d2773c16304281fe879e"/>
      <w:r>
        <w:rPr>
          <w:rFonts w:hint="eastAsia" w:ascii="宋体" w:hAnsi="宋体" w:eastAsia="宋体" w:cs="宋体"/>
          <w:b w:val="0"/>
          <w:bCs w:val="0"/>
          <w:sz w:val="24"/>
          <w:szCs w:val="24"/>
          <w:lang w:val="en-US" w:eastAsia="zh-CN"/>
        </w:rPr>
        <w:t>7. 词汇表</w:t>
      </w:r>
    </w:p>
    <w:tbl>
      <w:tblPr>
        <w:tblStyle w:val="49"/>
        <w:tblW w:w="0" w:type="auto"/>
        <w:tblInd w:w="0" w:type="dxa"/>
        <w:tblLayout w:type="autofit"/>
        <w:tblCellMar>
          <w:top w:w="0" w:type="dxa"/>
          <w:left w:w="108" w:type="dxa"/>
          <w:bottom w:w="0" w:type="dxa"/>
          <w:right w:w="108" w:type="dxa"/>
        </w:tblCellMar>
      </w:tblPr>
      <w:tblGrid>
        <w:gridCol w:w="1687"/>
        <w:gridCol w:w="2778"/>
        <w:gridCol w:w="4249"/>
      </w:tblGrid>
      <w:tr w14:paraId="32E4905D">
        <w:tblPrEx>
          <w:tblCellMar>
            <w:top w:w="0" w:type="dxa"/>
            <w:left w:w="108" w:type="dxa"/>
            <w:bottom w:w="0" w:type="dxa"/>
            <w:right w:w="108" w:type="dxa"/>
          </w:tblCellMar>
        </w:tblPrEx>
        <w:trPr>
          <w:tblHeader/>
        </w:trPr>
        <w:tc>
          <w:p w14:paraId="010C8CA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术语/缩写</w:t>
            </w:r>
          </w:p>
        </w:tc>
        <w:tc>
          <w:p w14:paraId="38C53AF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英文/原文</w:t>
            </w:r>
          </w:p>
        </w:tc>
        <w:tc>
          <w:p w14:paraId="3B56A6F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定义</w:t>
            </w:r>
          </w:p>
        </w:tc>
      </w:tr>
      <w:tr w14:paraId="29275F60">
        <w:tblPrEx>
          <w:tblCellMar>
            <w:top w:w="0" w:type="dxa"/>
            <w:left w:w="108" w:type="dxa"/>
            <w:bottom w:w="0" w:type="dxa"/>
            <w:right w:w="108" w:type="dxa"/>
          </w:tblCellMar>
        </w:tblPrEx>
        <w:tc>
          <w:p w14:paraId="5BF65F5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多数据源融合</w:t>
            </w:r>
          </w:p>
        </w:tc>
        <w:tc>
          <w:p w14:paraId="2F02BD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Multi-data Source Fusion</w:t>
            </w:r>
          </w:p>
        </w:tc>
        <w:tc>
          <w:p w14:paraId="2932337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整合央行征信、第三方信用、消费行为等多渠道数据，通过清洗、标准化与关联分析，形成统一数据集市，以提升风控决策准确性的过程。</w:t>
            </w:r>
          </w:p>
        </w:tc>
      </w:tr>
      <w:tr w14:paraId="0CDEE178">
        <w:tblPrEx>
          <w:tblCellMar>
            <w:top w:w="0" w:type="dxa"/>
            <w:left w:w="108" w:type="dxa"/>
            <w:bottom w:w="0" w:type="dxa"/>
            <w:right w:w="108" w:type="dxa"/>
          </w:tblCellMar>
        </w:tblPrEx>
        <w:tc>
          <w:p w14:paraId="1A1B4C1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全流程风控</w:t>
            </w:r>
          </w:p>
        </w:tc>
        <w:tc>
          <w:p w14:paraId="1763C6E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Full-process Risk Control</w:t>
            </w:r>
          </w:p>
        </w:tc>
        <w:tc>
          <w:p w14:paraId="69320ED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覆盖个人贷款“贷前审核→贷中监控→贷后管理”全生命周期的风险控制机制，实现事前预防、事中监控、事后处置。</w:t>
            </w:r>
          </w:p>
        </w:tc>
      </w:tr>
      <w:tr w14:paraId="19087E70">
        <w:tblPrEx>
          <w:tblCellMar>
            <w:top w:w="0" w:type="dxa"/>
            <w:left w:w="108" w:type="dxa"/>
            <w:bottom w:w="0" w:type="dxa"/>
            <w:right w:w="108" w:type="dxa"/>
          </w:tblCellMar>
        </w:tblPrEx>
        <w:tc>
          <w:p w14:paraId="5830FA9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贷前/贷中/贷后</w:t>
            </w:r>
          </w:p>
        </w:tc>
        <w:tc>
          <w:p w14:paraId="29A06AB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Pre-loan/ In-loan/ Post-loan</w:t>
            </w:r>
          </w:p>
        </w:tc>
        <w:tc>
          <w:p w14:paraId="1A2FA0A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个人贷款生命周期的三个阶段：贷前（申请与审核）、贷中（放款与资金用途监控）、贷后（还款管理与逾期催收）。</w:t>
            </w:r>
          </w:p>
        </w:tc>
      </w:tr>
      <w:tr w14:paraId="4A1C6EEE">
        <w:tblPrEx>
          <w:tblCellMar>
            <w:top w:w="0" w:type="dxa"/>
            <w:left w:w="108" w:type="dxa"/>
            <w:bottom w:w="0" w:type="dxa"/>
            <w:right w:w="108" w:type="dxa"/>
          </w:tblCellMar>
        </w:tblPrEx>
        <w:tc>
          <w:p w14:paraId="089889F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w:t>
            </w:r>
          </w:p>
        </w:tc>
        <w:tc>
          <w:p w14:paraId="6D0C9B2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Control Model</w:t>
            </w:r>
          </w:p>
        </w:tc>
        <w:tc>
          <w:p w14:paraId="3B8AC13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基于历史数据训练的数学模型，用于预测贷款申请人的风险。本系统采用逻辑回归与XGBoost的融合模型，输出0-1000分的风险评分。</w:t>
            </w:r>
          </w:p>
        </w:tc>
      </w:tr>
      <w:tr w14:paraId="74DCF4B9">
        <w:tblPrEx>
          <w:tblCellMar>
            <w:top w:w="0" w:type="dxa"/>
            <w:left w:w="108" w:type="dxa"/>
            <w:bottom w:w="0" w:type="dxa"/>
            <w:right w:w="108" w:type="dxa"/>
          </w:tblCellMar>
        </w:tblPrEx>
        <w:tc>
          <w:p w14:paraId="19F5E89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风险阈值</w:t>
            </w:r>
          </w:p>
        </w:tc>
        <w:tc>
          <w:p w14:paraId="527D2BD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Threshold</w:t>
            </w:r>
          </w:p>
        </w:tc>
        <w:tc>
          <w:p w14:paraId="14755B2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判断贷款申请风险等级的预设分数边界。基础阈值为：≥600（通过），500-599（人工复核），&lt;500（拒绝）。可根据贷款金额动态调整。</w:t>
            </w:r>
          </w:p>
        </w:tc>
      </w:tr>
      <w:tr w14:paraId="7220B2D9">
        <w:tblPrEx>
          <w:tblCellMar>
            <w:top w:w="0" w:type="dxa"/>
            <w:left w:w="108" w:type="dxa"/>
            <w:bottom w:w="0" w:type="dxa"/>
            <w:right w:w="108" w:type="dxa"/>
          </w:tblCellMar>
        </w:tblPrEx>
        <w:tc>
          <w:p w14:paraId="1F71BF3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风险评分</w:t>
            </w:r>
          </w:p>
        </w:tc>
        <w:tc>
          <w:p w14:paraId="323F091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 Score</w:t>
            </w:r>
          </w:p>
        </w:tc>
        <w:tc>
          <w:p w14:paraId="708802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风控模型输出的量化指标，范围0-1000分，用于精确评估申请人的信用风险。</w:t>
            </w:r>
          </w:p>
        </w:tc>
      </w:tr>
      <w:tr w14:paraId="2FBB87AE">
        <w:tblPrEx>
          <w:tblCellMar>
            <w:top w:w="0" w:type="dxa"/>
            <w:left w:w="108" w:type="dxa"/>
            <w:bottom w:w="0" w:type="dxa"/>
            <w:right w:w="108" w:type="dxa"/>
          </w:tblCellMar>
        </w:tblPrEx>
        <w:tc>
          <w:p w14:paraId="098A0DE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数据源接口</w:t>
            </w:r>
          </w:p>
        </w:tc>
        <w:tc>
          <w:p w14:paraId="2A33A44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Data Source Interface</w:t>
            </w:r>
          </w:p>
        </w:tc>
        <w:tc>
          <w:p w14:paraId="3790184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系统与外部数据提供方（如央行征信中心、芝麻信用）进行数据交互的编程接口，需遵循严格的规范和安全要求。</w:t>
            </w:r>
          </w:p>
        </w:tc>
      </w:tr>
      <w:tr w14:paraId="6C2AEF97">
        <w:tblPrEx>
          <w:tblCellMar>
            <w:top w:w="0" w:type="dxa"/>
            <w:left w:w="108" w:type="dxa"/>
            <w:bottom w:w="0" w:type="dxa"/>
            <w:right w:w="108" w:type="dxa"/>
          </w:tblCellMar>
        </w:tblPrEx>
        <w:tc>
          <w:p w14:paraId="37722F5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双人复核</w:t>
            </w:r>
          </w:p>
        </w:tc>
        <w:tc>
          <w:p w14:paraId="7A3A345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Dual-person Review</w:t>
            </w:r>
          </w:p>
        </w:tc>
        <w:tc>
          <w:p w14:paraId="5B1735C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一种风险制衡机制。当风控结果为“人工复核”时，需两名普通审核员审批意见一致，或一名主管审批，方可生成最终结论。</w:t>
            </w:r>
          </w:p>
        </w:tc>
      </w:tr>
      <w:tr w14:paraId="2AA6BF8B">
        <w:tblPrEx>
          <w:tblCellMar>
            <w:top w:w="0" w:type="dxa"/>
            <w:left w:w="108" w:type="dxa"/>
            <w:bottom w:w="0" w:type="dxa"/>
            <w:right w:w="108" w:type="dxa"/>
          </w:tblCellMar>
        </w:tblPrEx>
        <w:tc>
          <w:p w14:paraId="7659721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连三累六</w:t>
            </w:r>
          </w:p>
        </w:tc>
        <w:tc>
          <w:p w14:paraId="58B53AE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Three Consecutive / Six Cumulative Overdue</w:t>
            </w:r>
          </w:p>
        </w:tc>
        <w:tc>
          <w:p w14:paraId="44F0096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征信行业术语。“连三”指连续三个月逾期，“累六”指累计六次逾期。属于重大风险特征，本系统禁止此类申请人通过。</w:t>
            </w:r>
          </w:p>
        </w:tc>
      </w:tr>
      <w:tr w14:paraId="27BABE30">
        <w:tblPrEx>
          <w:tblCellMar>
            <w:top w:w="0" w:type="dxa"/>
            <w:left w:w="108" w:type="dxa"/>
            <w:bottom w:w="0" w:type="dxa"/>
            <w:right w:w="108" w:type="dxa"/>
          </w:tblCellMar>
        </w:tblPrEx>
        <w:tc>
          <w:p w14:paraId="234B914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等保2.0三级</w:t>
            </w:r>
          </w:p>
        </w:tc>
        <w:tc>
          <w:p w14:paraId="1C38295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Level 3 of Cybersecurity Classified Protection 2.0</w:t>
            </w:r>
          </w:p>
        </w:tc>
        <w:tc>
          <w:p w14:paraId="202ADAC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中国网络安全等级保护制度中的第三级要求，适用于金融机构信息系统，需对系统进行全面的安全防护和定期测评。</w:t>
            </w:r>
          </w:p>
        </w:tc>
      </w:tr>
      <w:tr w14:paraId="628D54AC">
        <w:tblPrEx>
          <w:tblCellMar>
            <w:top w:w="0" w:type="dxa"/>
            <w:left w:w="108" w:type="dxa"/>
            <w:bottom w:w="0" w:type="dxa"/>
            <w:right w:w="108" w:type="dxa"/>
          </w:tblCellMar>
        </w:tblPrEx>
        <w:tc>
          <w:p w14:paraId="2A4738D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SM4加密</w:t>
            </w:r>
          </w:p>
        </w:tc>
        <w:tc>
          <w:p w14:paraId="3D4B700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SM4 Encryption</w:t>
            </w:r>
          </w:p>
        </w:tc>
        <w:tc>
          <w:p w14:paraId="10CC082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国家密码管理局认定的对称加密算法，密钥长度128位。本系统用于敏感数据（如征信报告、银行卡号）的存储与传输加密。</w:t>
            </w:r>
          </w:p>
        </w:tc>
      </w:tr>
      <w:tr w14:paraId="730D10EF">
        <w:tblPrEx>
          <w:tblCellMar>
            <w:top w:w="0" w:type="dxa"/>
            <w:left w:w="108" w:type="dxa"/>
            <w:bottom w:w="0" w:type="dxa"/>
            <w:right w:w="108" w:type="dxa"/>
          </w:tblCellMar>
        </w:tblPrEx>
        <w:tc>
          <w:p w14:paraId="525D11D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LPR</w:t>
            </w:r>
          </w:p>
        </w:tc>
        <w:tc>
          <w:p w14:paraId="6DF7DB4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Loan Prime Rate</w:t>
            </w:r>
          </w:p>
        </w:tc>
        <w:tc>
          <w:p w14:paraId="5CC4610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贷款市场报价利率，由中国人民银行授权全国银行间同业拆借中心计算并公布。本系统贷款年利率不得超过同期LPR的1.5倍。</w:t>
            </w:r>
          </w:p>
        </w:tc>
      </w:tr>
      <w:tr w14:paraId="152F0F6D">
        <w:tblPrEx>
          <w:tblCellMar>
            <w:top w:w="0" w:type="dxa"/>
            <w:left w:w="108" w:type="dxa"/>
            <w:bottom w:w="0" w:type="dxa"/>
            <w:right w:w="108" w:type="dxa"/>
          </w:tblCellMar>
        </w:tblPrEx>
        <w:tc>
          <w:p w14:paraId="7BADB71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JWT</w:t>
            </w:r>
          </w:p>
        </w:tc>
        <w:tc>
          <w:p w14:paraId="62D9E98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JSON Web Token</w:t>
            </w:r>
          </w:p>
        </w:tc>
        <w:tc>
          <w:p w14:paraId="46C926E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一种轻量级的、包含用户身份信息的令牌。本系统用于用户会话管理，审核员令牌有效期为2小时，申请人令牌有效期为30分钟。</w:t>
            </w:r>
          </w:p>
        </w:tc>
      </w:tr>
      <w:tr w14:paraId="6655C14C">
        <w:tblPrEx>
          <w:tblCellMar>
            <w:top w:w="0" w:type="dxa"/>
            <w:left w:w="108" w:type="dxa"/>
            <w:bottom w:w="0" w:type="dxa"/>
            <w:right w:w="108" w:type="dxa"/>
          </w:tblCellMar>
        </w:tblPrEx>
        <w:tc>
          <w:p w14:paraId="7A6C60C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最小必要原则</w:t>
            </w:r>
          </w:p>
        </w:tc>
        <w:tc>
          <w:p w14:paraId="5D2C592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Principle of Data Minimization</w:t>
            </w:r>
          </w:p>
        </w:tc>
        <w:tc>
          <w:p w14:paraId="7A01442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《个人信息保护法》核心原则之一。指处理个人信息应限于实现处理目的的最小范围，不应过度收集。</w:t>
            </w:r>
          </w:p>
        </w:tc>
      </w:tr>
      <w:tr w14:paraId="2506BE4E">
        <w:tblPrEx>
          <w:tblCellMar>
            <w:top w:w="0" w:type="dxa"/>
            <w:left w:w="108" w:type="dxa"/>
            <w:bottom w:w="0" w:type="dxa"/>
            <w:right w:w="108" w:type="dxa"/>
          </w:tblCellMar>
        </w:tblPrEx>
        <w:tc>
          <w:p w14:paraId="27CD4B0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个人信息保护影响评估(PIA)</w:t>
            </w:r>
          </w:p>
        </w:tc>
        <w:tc>
          <w:p w14:paraId="3807F9D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Personal Information Protection Impact Assessment</w:t>
            </w:r>
          </w:p>
        </w:tc>
        <w:tc>
          <w:p w14:paraId="50C226C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在处理敏感个人信息等特定场景前，对个人信息处理活动进行合规性、安全性、风险及应对措施的综合性评估。</w:t>
            </w:r>
          </w:p>
        </w:tc>
      </w:tr>
      <w:tr w14:paraId="6599046C">
        <w:tblPrEx>
          <w:tblCellMar>
            <w:top w:w="0" w:type="dxa"/>
            <w:left w:w="108" w:type="dxa"/>
            <w:bottom w:w="0" w:type="dxa"/>
            <w:right w:w="108" w:type="dxa"/>
          </w:tblCellMar>
        </w:tblPrEx>
        <w:tc>
          <w:p w14:paraId="2D42C1C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RBAC模型</w:t>
            </w:r>
          </w:p>
        </w:tc>
        <w:tc>
          <w:p w14:paraId="3BD5AC4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Role-Based Access Control</w:t>
            </w:r>
          </w:p>
        </w:tc>
        <w:tc>
          <w:p w14:paraId="0A92995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基于角色的访问控制模型。本系统通过为用户分配预设角色（如申请人、审核员、管理员）来精确控制其功能与数据权限。</w:t>
            </w:r>
          </w:p>
        </w:tc>
      </w:tr>
      <w:tr w14:paraId="24A23784">
        <w:tblPrEx>
          <w:tblCellMar>
            <w:top w:w="0" w:type="dxa"/>
            <w:left w:w="108" w:type="dxa"/>
            <w:bottom w:w="0" w:type="dxa"/>
            <w:right w:w="108" w:type="dxa"/>
          </w:tblCellMar>
        </w:tblPrEx>
        <w:tc>
          <w:p w14:paraId="237AB8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Web应用防火墙(WAF)</w:t>
            </w:r>
          </w:p>
        </w:tc>
        <w:tc>
          <w:p w14:paraId="11225B4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Web Application Firewall</w:t>
            </w:r>
          </w:p>
        </w:tc>
        <w:tc>
          <w:p w14:paraId="18A7E94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一种用于保护Web应用程序的安全系统，能够识别并拦截SQL注入、XSS等常见网络攻击。</w:t>
            </w:r>
          </w:p>
        </w:tc>
      </w:tr>
      <w:tr w14:paraId="14ABA089">
        <w:tblPrEx>
          <w:tblCellMar>
            <w:top w:w="0" w:type="dxa"/>
            <w:left w:w="108" w:type="dxa"/>
            <w:bottom w:w="0" w:type="dxa"/>
            <w:right w:w="108" w:type="dxa"/>
          </w:tblCellMar>
        </w:tblPrEx>
        <w:tc>
          <w:p w14:paraId="1DCF474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API网关</w:t>
            </w:r>
          </w:p>
        </w:tc>
        <w:tc>
          <w:p w14:paraId="4789CA4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API Gateway</w:t>
            </w:r>
          </w:p>
        </w:tc>
        <w:tc>
          <w:p w14:paraId="3A343B3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作为系统所有外部API请求的统一入口，负责路由、组合、协议转换、安全策略（如限流、IP白名单）执行等。</w:t>
            </w:r>
          </w:p>
        </w:tc>
      </w:tr>
      <w:tr w14:paraId="7CB1C87E">
        <w:tblPrEx>
          <w:tblCellMar>
            <w:top w:w="0" w:type="dxa"/>
            <w:left w:w="108" w:type="dxa"/>
            <w:bottom w:w="0" w:type="dxa"/>
            <w:right w:w="108" w:type="dxa"/>
          </w:tblCellMar>
        </w:tblPrEx>
        <w:tc>
          <w:p w14:paraId="7AA5E87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密钥管理系统(KMS)</w:t>
            </w:r>
          </w:p>
        </w:tc>
        <w:tc>
          <w:p w14:paraId="2EFEC1F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Key Management System</w:t>
            </w:r>
          </w:p>
        </w:tc>
        <w:tc>
          <w:p w14:paraId="163B239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用于集中管理加密密钥的系统，提供密钥的生成、存储、轮换和销毁等全生命周期管理。本系统用于管理SM4加密密钥。</w:t>
            </w:r>
          </w:p>
        </w:tc>
      </w:tr>
      <w:tr w14:paraId="5EC479D9">
        <w:tblPrEx>
          <w:tblCellMar>
            <w:top w:w="0" w:type="dxa"/>
            <w:left w:w="108" w:type="dxa"/>
            <w:bottom w:w="0" w:type="dxa"/>
            <w:right w:w="108" w:type="dxa"/>
          </w:tblCellMar>
        </w:tblPrEx>
        <w:tc>
          <w:p w14:paraId="53A961C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安全信息与事件管理(SIEM)</w:t>
            </w:r>
          </w:p>
        </w:tc>
        <w:tc>
          <w:p w14:paraId="4068C6D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Security Information and Event Management</w:t>
            </w:r>
          </w:p>
        </w:tc>
        <w:tc>
          <w:p w14:paraId="64E5FC4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一种集中式安全管理平台，通过实时收集和分析日志数据，提供安全事件监控、报警和合规性报告。</w:t>
            </w:r>
          </w:p>
        </w:tc>
      </w:tr>
      <w:tr w14:paraId="70C2E81C">
        <w:tblPrEx>
          <w:tblCellMar>
            <w:top w:w="0" w:type="dxa"/>
            <w:left w:w="108" w:type="dxa"/>
            <w:bottom w:w="0" w:type="dxa"/>
            <w:right w:w="108" w:type="dxa"/>
          </w:tblCellMar>
        </w:tblPrEx>
        <w:tc>
          <w:p w14:paraId="45E4698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数据集市</w:t>
            </w:r>
          </w:p>
        </w:tc>
        <w:tc>
          <w:p w14:paraId="73555DE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Data Mart</w:t>
            </w:r>
          </w:p>
        </w:tc>
        <w:tc>
          <w:p w14:paraId="5C0C46E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为特定业务领域（如本系统的风控决策）提供支持的、面向主题的数据集合，由多数据源经过清洗和标准化后形成。</w:t>
            </w:r>
          </w:p>
        </w:tc>
      </w:tr>
      <w:tr w14:paraId="3DF01EBC">
        <w:tblPrEx>
          <w:tblCellMar>
            <w:top w:w="0" w:type="dxa"/>
            <w:left w:w="108" w:type="dxa"/>
            <w:bottom w:w="0" w:type="dxa"/>
            <w:right w:w="108" w:type="dxa"/>
          </w:tblCellMar>
        </w:tblPrEx>
        <w:tc>
          <w:p w14:paraId="671973B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OCR识别</w:t>
            </w:r>
          </w:p>
        </w:tc>
        <w:tc>
          <w:p w14:paraId="25DE49D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Optical Character Recognition</w:t>
            </w:r>
          </w:p>
        </w:tc>
        <w:tc>
          <w:p w14:paraId="222C716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光学字符识别技术。本系统用于自动识别申请人上传的身份证、银行卡图片，并提取关键文本信息，减少手动输入。</w:t>
            </w:r>
          </w:p>
        </w:tc>
      </w:tr>
      <w:tr w14:paraId="33E1B071">
        <w:tblPrEx>
          <w:tblCellMar>
            <w:top w:w="0" w:type="dxa"/>
            <w:left w:w="108" w:type="dxa"/>
            <w:bottom w:w="0" w:type="dxa"/>
            <w:right w:w="108" w:type="dxa"/>
          </w:tblCellMar>
        </w:tblPrEx>
        <w:tc>
          <w:p w14:paraId="413A6EF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融合风控模型</w:t>
            </w:r>
          </w:p>
        </w:tc>
        <w:tc>
          <w:p w14:paraId="6022F6D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Integrated Risk Control Model</w:t>
            </w:r>
          </w:p>
        </w:tc>
        <w:tc>
          <w:p w14:paraId="4DA16BD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本系统采用的特定风控模型，结合了逻辑回归（提供基础分）和XGBoost（提供调整分）两种算法的优点，以提升预测准确性。</w:t>
            </w:r>
          </w:p>
        </w:tc>
      </w:tr>
      <w:tr w14:paraId="775765C8">
        <w:tblPrEx>
          <w:tblCellMar>
            <w:top w:w="0" w:type="dxa"/>
            <w:left w:w="108" w:type="dxa"/>
            <w:bottom w:w="0" w:type="dxa"/>
            <w:right w:w="108" w:type="dxa"/>
          </w:tblCellMar>
        </w:tblPrEx>
        <w:tc>
          <w:p w14:paraId="36C6F5D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公安接口验证</w:t>
            </w:r>
          </w:p>
        </w:tc>
        <w:tc>
          <w:p w14:paraId="223227C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Public Security Bureau (PSB) Identity Verification API</w:t>
            </w:r>
          </w:p>
        </w:tc>
        <w:tc>
          <w:p w14:paraId="00DCFD3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系统调用公安部门提供的身份核验接口，验证身份证号与姓名是否匹配、是否真实有效。</w:t>
            </w:r>
          </w:p>
        </w:tc>
      </w:tr>
      <w:tr w14:paraId="0F0BCCCF">
        <w:tblPrEx>
          <w:tblCellMar>
            <w:top w:w="0" w:type="dxa"/>
            <w:left w:w="108" w:type="dxa"/>
            <w:bottom w:w="0" w:type="dxa"/>
            <w:right w:w="108" w:type="dxa"/>
          </w:tblCellMar>
        </w:tblPrEx>
        <w:tc>
          <w:p w14:paraId="2174022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冷存储</w:t>
            </w:r>
          </w:p>
        </w:tc>
        <w:tc>
          <w:p w14:paraId="458FA29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Cold Storage</w:t>
            </w:r>
          </w:p>
        </w:tc>
        <w:tc>
          <w:p w14:paraId="580B6DE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用于长期保存、访问频率极低的数据存储方式（如阿里云OSS归档存储），成本低但读取延迟高，适用于历史归档数据。</w:t>
            </w:r>
          </w:p>
        </w:tc>
      </w:tr>
      <w:tr w14:paraId="0F3F3C6D">
        <w:tblPrEx>
          <w:tblCellMar>
            <w:top w:w="0" w:type="dxa"/>
            <w:left w:w="108" w:type="dxa"/>
            <w:bottom w:w="0" w:type="dxa"/>
            <w:right w:w="108" w:type="dxa"/>
          </w:tblCellMar>
        </w:tblPrEx>
        <w:tc>
          <w:p w14:paraId="6C48B4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微服务</w:t>
            </w:r>
          </w:p>
        </w:tc>
        <w:tc>
          <w:p w14:paraId="5C9D2D2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Microservices</w:t>
            </w:r>
          </w:p>
        </w:tc>
        <w:tc>
          <w:p w14:paraId="36511D2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一种软件架构风格，将应用拆分为多个小型、独立部署的服务，每个服务运行在自己的进程中并通过轻量级通信（如HTTP/REST）协作。</w:t>
            </w:r>
          </w:p>
        </w:tc>
      </w:tr>
      <w:tr w14:paraId="5142B275">
        <w:tblPrEx>
          <w:tblCellMar>
            <w:top w:w="0" w:type="dxa"/>
            <w:left w:w="108" w:type="dxa"/>
            <w:bottom w:w="0" w:type="dxa"/>
            <w:right w:w="108" w:type="dxa"/>
          </w:tblCellMar>
        </w:tblPrEx>
        <w:tc>
          <w:p w14:paraId="3F52D75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OpenFeign</w:t>
            </w:r>
          </w:p>
        </w:tc>
        <w:tc>
          <w:p w14:paraId="592BE7C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Spring Cloud OpenFeign</w:t>
            </w:r>
          </w:p>
        </w:tc>
        <w:tc>
          <w:p w14:paraId="02A3906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Spring Cloud生态中的声明式HTTP客户端，用于微服务之间通过接口定义实现远程调用，简化服务通信代码。</w:t>
            </w:r>
          </w:p>
        </w:tc>
      </w:tr>
      <w:tr w14:paraId="49F0F762">
        <w:tblPrEx>
          <w:tblCellMar>
            <w:top w:w="0" w:type="dxa"/>
            <w:left w:w="108" w:type="dxa"/>
            <w:bottom w:w="0" w:type="dxa"/>
            <w:right w:w="108" w:type="dxa"/>
          </w:tblCellMar>
        </w:tblPrEx>
        <w:tc>
          <w:p w14:paraId="400BEAB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IP白名单</w:t>
            </w:r>
          </w:p>
        </w:tc>
        <w:tc>
          <w:p w14:paraId="7043A93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IP Whitelist</w:t>
            </w:r>
          </w:p>
        </w:tc>
        <w:tc>
          <w:p w14:paraId="4C438E4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一种网络安全策略，仅允许预设的IP地址访问特定接口或服务，其他IP一律拒绝，用于防止非法调用。</w:t>
            </w:r>
          </w:p>
        </w:tc>
      </w:tr>
      <w:tr w14:paraId="22718EC1">
        <w:tblPrEx>
          <w:tblCellMar>
            <w:top w:w="0" w:type="dxa"/>
            <w:left w:w="108" w:type="dxa"/>
            <w:bottom w:w="0" w:type="dxa"/>
            <w:right w:w="108" w:type="dxa"/>
          </w:tblCellMar>
        </w:tblPrEx>
        <w:tc>
          <w:p w14:paraId="7C3BB44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密钥轮换</w:t>
            </w:r>
          </w:p>
        </w:tc>
        <w:tc>
          <w:p w14:paraId="2C357F1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Key Rotation</w:t>
            </w:r>
          </w:p>
        </w:tc>
        <w:tc>
          <w:p w14:paraId="25EE3F6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定期更换加密密钥的安全实践，防止密钥长期使用被破解。本系统要求SM4/RSA密钥每月轮换一次。</w:t>
            </w:r>
          </w:p>
        </w:tc>
      </w:tr>
      <w:bookmarkEnd w:id="66"/>
    </w:tbl>
    <w:p w14:paraId="76534935">
      <w:pPr>
        <w:pStyle w:val="8"/>
        <w:rPr>
          <w:rFonts w:hint="eastAsia" w:ascii="宋体" w:hAnsi="宋体" w:eastAsia="宋体" w:cs="宋体"/>
          <w:b w:val="0"/>
          <w:bCs w:val="0"/>
          <w:sz w:val="24"/>
          <w:szCs w:val="24"/>
          <w:lang w:val="en-US" w:eastAsia="zh-CN"/>
        </w:rPr>
      </w:pPr>
      <w:bookmarkStart w:id="67" w:name="X3b60e32814823b24f18855c0fa04d935fe37d03"/>
      <w:r>
        <w:rPr>
          <w:rFonts w:hint="eastAsia" w:ascii="宋体" w:hAnsi="宋体" w:eastAsia="宋体" w:cs="宋体"/>
          <w:b w:val="0"/>
          <w:bCs w:val="0"/>
          <w:sz w:val="24"/>
          <w:szCs w:val="24"/>
          <w:lang w:val="en-US" w:eastAsia="zh-CN"/>
        </w:rPr>
        <w:t>8. 数据定义</w:t>
      </w:r>
    </w:p>
    <w:p w14:paraId="55C83248">
      <w:pPr>
        <w:pStyle w:val="8"/>
        <w:rPr>
          <w:rFonts w:hint="eastAsia" w:ascii="宋体" w:hAnsi="宋体" w:eastAsia="宋体" w:cs="宋体"/>
          <w:b w:val="0"/>
          <w:bCs w:val="0"/>
          <w:sz w:val="24"/>
          <w:szCs w:val="24"/>
          <w:lang w:val="en-US" w:eastAsia="zh-CN"/>
        </w:rPr>
      </w:pPr>
      <w:bookmarkStart w:id="68" w:name="X78c2465124a80dbde593cb259b45b89441e5b8c"/>
      <w:r>
        <w:rPr>
          <w:rFonts w:hint="eastAsia" w:ascii="宋体" w:hAnsi="宋体" w:eastAsia="宋体" w:cs="宋体"/>
          <w:b w:val="0"/>
          <w:bCs w:val="0"/>
          <w:sz w:val="24"/>
          <w:szCs w:val="24"/>
          <w:lang w:val="en-US" w:eastAsia="zh-CN"/>
        </w:rPr>
        <w:t>8.1 数据定义编写规范</w:t>
      </w:r>
    </w:p>
    <w:p w14:paraId="5E60E73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所有数据项需包含“中文名称、英文名称、定义、类型、格式、约束”，英文名称遵循“小驼峰命名法”（如applicantName）；</w:t>
      </w:r>
    </w:p>
    <w:p w14:paraId="63F58B8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数据类型采用MySQL数据类型（如VARCHAR、INT、DECIMAL、DATETIME）；</w:t>
      </w:r>
    </w:p>
    <w:p w14:paraId="0A905D1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数值型数据需明确“精度”（如金额保留2位小数），字符型数据需明确“长度”（如身份证号18位）；</w:t>
      </w:r>
    </w:p>
    <w:p w14:paraId="5F71064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数据约束包含“非空约束、取值范围、格式规则”，需符合业务规则与监管要求。</w:t>
      </w:r>
    </w:p>
    <w:bookmarkEnd w:id="68"/>
    <w:p w14:paraId="03501461">
      <w:pPr>
        <w:pStyle w:val="8"/>
        <w:rPr>
          <w:rFonts w:hint="eastAsia" w:ascii="宋体" w:hAnsi="宋体" w:eastAsia="宋体" w:cs="宋体"/>
          <w:b w:val="0"/>
          <w:bCs w:val="0"/>
          <w:sz w:val="24"/>
          <w:szCs w:val="24"/>
          <w:lang w:val="en-US" w:eastAsia="zh-CN"/>
        </w:rPr>
      </w:pPr>
      <w:bookmarkStart w:id="69" w:name="X0a511e551273da3d4479b8a6a79a3dcd733cc9a"/>
      <w:r>
        <w:rPr>
          <w:rFonts w:hint="eastAsia" w:ascii="宋体" w:hAnsi="宋体" w:eastAsia="宋体" w:cs="宋体"/>
          <w:b w:val="0"/>
          <w:bCs w:val="0"/>
          <w:sz w:val="24"/>
          <w:szCs w:val="24"/>
          <w:lang w:val="en-US" w:eastAsia="zh-CN"/>
        </w:rPr>
        <w:t>8.2 核心数据项定义</w:t>
      </w:r>
    </w:p>
    <w:p w14:paraId="69A2A055">
      <w:pPr>
        <w:pStyle w:val="8"/>
        <w:rPr>
          <w:rFonts w:hint="eastAsia" w:ascii="宋体" w:hAnsi="宋体" w:eastAsia="宋体" w:cs="宋体"/>
          <w:b w:val="0"/>
          <w:bCs w:val="0"/>
          <w:sz w:val="24"/>
          <w:szCs w:val="24"/>
          <w:lang w:val="en-US" w:eastAsia="zh-CN"/>
        </w:rPr>
      </w:pPr>
      <w:bookmarkStart w:id="70" w:name="X31798035ac34d25fac573b72655db15a2021fd7"/>
      <w:r>
        <w:rPr>
          <w:rFonts w:hint="eastAsia" w:ascii="宋体" w:hAnsi="宋体" w:eastAsia="宋体" w:cs="宋体"/>
          <w:b w:val="0"/>
          <w:bCs w:val="0"/>
          <w:sz w:val="24"/>
          <w:szCs w:val="24"/>
          <w:lang w:val="en-US" w:eastAsia="zh-CN"/>
        </w:rPr>
        <w:t>8.2.1 原数据元素</w:t>
      </w:r>
    </w:p>
    <w:tbl>
      <w:tblPr>
        <w:tblStyle w:val="49"/>
        <w:tblW w:w="0" w:type="auto"/>
        <w:tblInd w:w="0" w:type="dxa"/>
        <w:tblLayout w:type="fixed"/>
        <w:tblCellMar>
          <w:top w:w="0" w:type="dxa"/>
          <w:left w:w="108" w:type="dxa"/>
          <w:bottom w:w="0" w:type="dxa"/>
          <w:right w:w="108" w:type="dxa"/>
        </w:tblCellMar>
      </w:tblPr>
      <w:tblGrid>
        <w:gridCol w:w="640"/>
        <w:gridCol w:w="2335"/>
        <w:gridCol w:w="1225"/>
        <w:gridCol w:w="691"/>
        <w:gridCol w:w="1276"/>
        <w:gridCol w:w="2547"/>
      </w:tblGrid>
      <w:tr w14:paraId="1A085182">
        <w:tblPrEx>
          <w:tblCellMar>
            <w:top w:w="0" w:type="dxa"/>
            <w:left w:w="108" w:type="dxa"/>
            <w:bottom w:w="0" w:type="dxa"/>
            <w:right w:w="108" w:type="dxa"/>
          </w:tblCellMar>
        </w:tblPrEx>
        <w:trPr>
          <w:tblHeader/>
        </w:trPr>
        <w:tc>
          <w:tcPr>
            <w:tcW w:w="640" w:type="dxa"/>
          </w:tcPr>
          <w:p w14:paraId="2B4D149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中文名称</w:t>
            </w:r>
          </w:p>
        </w:tc>
        <w:tc>
          <w:tcPr>
            <w:tcW w:w="2335" w:type="dxa"/>
          </w:tcPr>
          <w:p w14:paraId="6C1039F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英文名称</w:t>
            </w:r>
          </w:p>
        </w:tc>
        <w:tc>
          <w:tcPr>
            <w:tcW w:w="1225" w:type="dxa"/>
          </w:tcPr>
          <w:p w14:paraId="74D4183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定义</w:t>
            </w:r>
          </w:p>
        </w:tc>
        <w:tc>
          <w:tcPr>
            <w:tcW w:w="691" w:type="dxa"/>
          </w:tcPr>
          <w:p w14:paraId="4775EDB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类型</w:t>
            </w:r>
          </w:p>
        </w:tc>
        <w:tc>
          <w:tcPr>
            <w:tcW w:w="1276" w:type="dxa"/>
          </w:tcPr>
          <w:p w14:paraId="311A5F8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格式/长度</w:t>
            </w:r>
          </w:p>
        </w:tc>
        <w:tc>
          <w:tcPr>
            <w:tcW w:w="2547" w:type="dxa"/>
          </w:tcPr>
          <w:p w14:paraId="5175073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约束</w:t>
            </w:r>
          </w:p>
        </w:tc>
      </w:tr>
      <w:tr w14:paraId="32C04C1A">
        <w:tblPrEx>
          <w:tblCellMar>
            <w:top w:w="0" w:type="dxa"/>
            <w:left w:w="108" w:type="dxa"/>
            <w:bottom w:w="0" w:type="dxa"/>
            <w:right w:w="108" w:type="dxa"/>
          </w:tblCellMar>
        </w:tblPrEx>
        <w:tc>
          <w:tcPr>
            <w:tcW w:w="640" w:type="dxa"/>
          </w:tcPr>
          <w:p w14:paraId="09476F3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申请人姓名</w:t>
            </w:r>
          </w:p>
        </w:tc>
        <w:tc>
          <w:tcPr>
            <w:tcW w:w="2335" w:type="dxa"/>
          </w:tcPr>
          <w:p w14:paraId="79E8052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applicantName</w:t>
            </w:r>
          </w:p>
        </w:tc>
        <w:tc>
          <w:tcPr>
            <w:tcW w:w="1225" w:type="dxa"/>
          </w:tcPr>
          <w:p w14:paraId="3687BE6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*个人贷款申请人的法定姓名，与身份证一致</w:t>
            </w:r>
          </w:p>
        </w:tc>
        <w:tc>
          <w:tcPr>
            <w:tcW w:w="691" w:type="dxa"/>
          </w:tcPr>
          <w:p w14:paraId="12DD6D7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1276" w:type="dxa"/>
          </w:tcPr>
          <w:p w14:paraId="38BB5D8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2-20位字符</w:t>
            </w:r>
          </w:p>
        </w:tc>
        <w:tc>
          <w:tcPr>
            <w:tcW w:w="2547" w:type="dxa"/>
          </w:tcPr>
          <w:p w14:paraId="5A8FE71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非空；仅含中文、英文（如“李娜”“Zhang San”）；禁止特殊字符（如“*、#”）</w:t>
            </w:r>
          </w:p>
        </w:tc>
      </w:tr>
      <w:tr w14:paraId="5659FC32">
        <w:tblPrEx>
          <w:tblCellMar>
            <w:top w:w="0" w:type="dxa"/>
            <w:left w:w="108" w:type="dxa"/>
            <w:bottom w:w="0" w:type="dxa"/>
            <w:right w:w="108" w:type="dxa"/>
          </w:tblCellMar>
        </w:tblPrEx>
        <w:tc>
          <w:tcPr>
            <w:tcW w:w="640" w:type="dxa"/>
          </w:tcPr>
          <w:p w14:paraId="4BFE605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申请人身份证号</w:t>
            </w:r>
          </w:p>
        </w:tc>
        <w:tc>
          <w:tcPr>
            <w:tcW w:w="2335" w:type="dxa"/>
          </w:tcPr>
          <w:p w14:paraId="484422A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applicantIdCard</w:t>
            </w:r>
          </w:p>
        </w:tc>
        <w:tc>
          <w:tcPr>
            <w:tcW w:w="1225" w:type="dxa"/>
          </w:tcPr>
          <w:p w14:paraId="0315037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*申请人唯一身份标识，符合二代身份证编码规则</w:t>
            </w:r>
          </w:p>
        </w:tc>
        <w:tc>
          <w:tcPr>
            <w:tcW w:w="691" w:type="dxa"/>
          </w:tcPr>
          <w:p w14:paraId="30DCB3D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1276" w:type="dxa"/>
          </w:tcPr>
          <w:p w14:paraId="2CC46E8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18位字符</w:t>
            </w:r>
          </w:p>
        </w:tc>
        <w:tc>
          <w:tcPr>
            <w:tcW w:w="2547" w:type="dxa"/>
          </w:tcPr>
          <w:p w14:paraId="19B8E06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非空；格式为“17位数字+1位数字/X”（如110101199001011234、11010119900101123X）；需通过公安接口验证</w:t>
            </w:r>
          </w:p>
        </w:tc>
      </w:tr>
      <w:tr w14:paraId="2CFE3EA6">
        <w:tblPrEx>
          <w:tblCellMar>
            <w:top w:w="0" w:type="dxa"/>
            <w:left w:w="108" w:type="dxa"/>
            <w:bottom w:w="0" w:type="dxa"/>
            <w:right w:w="108" w:type="dxa"/>
          </w:tblCellMar>
        </w:tblPrEx>
        <w:tc>
          <w:tcPr>
            <w:tcW w:w="640" w:type="dxa"/>
          </w:tcPr>
          <w:p w14:paraId="64DD773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风险评分</w:t>
            </w:r>
          </w:p>
        </w:tc>
        <w:tc>
          <w:tcPr>
            <w:tcW w:w="2335" w:type="dxa"/>
          </w:tcPr>
          <w:p w14:paraId="4544AB7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riskScore</w:t>
            </w:r>
          </w:p>
        </w:tc>
        <w:tc>
          <w:tcPr>
            <w:tcW w:w="1225" w:type="dxa"/>
          </w:tcPr>
          <w:p w14:paraId="4B331FD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*风控模型计算的申请人风险量化指标，用于判断风险等级</w:t>
            </w:r>
          </w:p>
        </w:tc>
        <w:tc>
          <w:tcPr>
            <w:tcW w:w="691" w:type="dxa"/>
          </w:tcPr>
          <w:p w14:paraId="1DF6AB8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w:t>
            </w:r>
          </w:p>
        </w:tc>
        <w:tc>
          <w:tcPr>
            <w:tcW w:w="1276" w:type="dxa"/>
          </w:tcPr>
          <w:p w14:paraId="49EAEDC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0-1000</w:t>
            </w:r>
          </w:p>
        </w:tc>
        <w:tc>
          <w:tcPr>
            <w:tcW w:w="2547" w:type="dxa"/>
          </w:tcPr>
          <w:p w14:paraId="3BEEC34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非空；取值范围0≤riskScore≤1000；默认值550（数据源缺失时使用）</w:t>
            </w:r>
          </w:p>
        </w:tc>
      </w:tr>
      <w:tr w14:paraId="7BF1C7D4">
        <w:tblPrEx>
          <w:tblCellMar>
            <w:top w:w="0" w:type="dxa"/>
            <w:left w:w="108" w:type="dxa"/>
            <w:bottom w:w="0" w:type="dxa"/>
            <w:right w:w="108" w:type="dxa"/>
          </w:tblCellMar>
        </w:tblPrEx>
        <w:tc>
          <w:tcPr>
            <w:tcW w:w="640" w:type="dxa"/>
          </w:tcPr>
          <w:p w14:paraId="29A7E15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贷款金额</w:t>
            </w:r>
          </w:p>
        </w:tc>
        <w:tc>
          <w:tcPr>
            <w:tcW w:w="2335" w:type="dxa"/>
          </w:tcPr>
          <w:p w14:paraId="3E7B53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loanAmount</w:t>
            </w:r>
          </w:p>
        </w:tc>
        <w:tc>
          <w:tcPr>
            <w:tcW w:w="1225" w:type="dxa"/>
          </w:tcPr>
          <w:p w14:paraId="0536FD4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*申请人申请的贷款本金金额，单位为“元”</w:t>
            </w:r>
          </w:p>
        </w:tc>
        <w:tc>
          <w:tcPr>
            <w:tcW w:w="691" w:type="dxa"/>
          </w:tcPr>
          <w:p w14:paraId="416E3A2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DECIMAL</w:t>
            </w:r>
          </w:p>
        </w:tc>
        <w:tc>
          <w:tcPr>
            <w:tcW w:w="1276" w:type="dxa"/>
          </w:tcPr>
          <w:p w14:paraId="4DF9FB7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(18,2)</w:t>
            </w:r>
          </w:p>
        </w:tc>
        <w:tc>
          <w:tcPr>
            <w:tcW w:w="2547" w:type="dxa"/>
          </w:tcPr>
          <w:p w14:paraId="1ADC9FF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非空；1000.00≤loanAmount≤500000.00；保留2位小数</w:t>
            </w:r>
          </w:p>
        </w:tc>
      </w:tr>
      <w:tr w14:paraId="3041C881">
        <w:tblPrEx>
          <w:tblCellMar>
            <w:top w:w="0" w:type="dxa"/>
            <w:left w:w="108" w:type="dxa"/>
            <w:bottom w:w="0" w:type="dxa"/>
            <w:right w:w="108" w:type="dxa"/>
          </w:tblCellMar>
        </w:tblPrEx>
        <w:tc>
          <w:tcPr>
            <w:tcW w:w="640" w:type="dxa"/>
          </w:tcPr>
          <w:p w14:paraId="60D4F88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贷款期限</w:t>
            </w:r>
          </w:p>
        </w:tc>
        <w:tc>
          <w:tcPr>
            <w:tcW w:w="2335" w:type="dxa"/>
          </w:tcPr>
          <w:p w14:paraId="6358BC9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loanTerm</w:t>
            </w:r>
          </w:p>
        </w:tc>
        <w:tc>
          <w:tcPr>
            <w:tcW w:w="1225" w:type="dxa"/>
          </w:tcPr>
          <w:p w14:paraId="71F0D79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*申请人选择的贷款还款期限，单位为“月”</w:t>
            </w:r>
          </w:p>
        </w:tc>
        <w:tc>
          <w:tcPr>
            <w:tcW w:w="691" w:type="dxa"/>
          </w:tcPr>
          <w:p w14:paraId="65D8BF4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w:t>
            </w:r>
          </w:p>
        </w:tc>
        <w:tc>
          <w:tcPr>
            <w:tcW w:w="1276" w:type="dxa"/>
          </w:tcPr>
          <w:p w14:paraId="665C04F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3-36</w:t>
            </w:r>
          </w:p>
        </w:tc>
        <w:tc>
          <w:tcPr>
            <w:tcW w:w="2547" w:type="dxa"/>
          </w:tcPr>
          <w:p w14:paraId="4CB85AA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非空；取值为3、6、12、24、36（仅支持整数月）</w:t>
            </w:r>
          </w:p>
        </w:tc>
      </w:tr>
      <w:tr w14:paraId="25C41FD3">
        <w:tblPrEx>
          <w:tblCellMar>
            <w:top w:w="0" w:type="dxa"/>
            <w:left w:w="108" w:type="dxa"/>
            <w:bottom w:w="0" w:type="dxa"/>
            <w:right w:w="108" w:type="dxa"/>
          </w:tblCellMar>
        </w:tblPrEx>
        <w:tc>
          <w:tcPr>
            <w:tcW w:w="640" w:type="dxa"/>
          </w:tcPr>
          <w:p w14:paraId="2D45A3A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审批结果</w:t>
            </w:r>
          </w:p>
        </w:tc>
        <w:tc>
          <w:tcPr>
            <w:tcW w:w="2335" w:type="dxa"/>
          </w:tcPr>
          <w:p w14:paraId="727CD29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approvalResult</w:t>
            </w:r>
          </w:p>
        </w:tc>
        <w:tc>
          <w:tcPr>
            <w:tcW w:w="1225" w:type="dxa"/>
          </w:tcPr>
          <w:p w14:paraId="6B8383A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*贷款申请的最终审批结论</w:t>
            </w:r>
          </w:p>
        </w:tc>
        <w:tc>
          <w:tcPr>
            <w:tcW w:w="691" w:type="dxa"/>
          </w:tcPr>
          <w:p w14:paraId="68A38FB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1276" w:type="dxa"/>
          </w:tcPr>
          <w:p w14:paraId="3D31673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10位字符</w:t>
            </w:r>
          </w:p>
        </w:tc>
        <w:tc>
          <w:tcPr>
            <w:tcW w:w="2547" w:type="dxa"/>
          </w:tcPr>
          <w:p w14:paraId="26C370D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非空；取值为“通过、拒绝”；由系统根据风控结果与人工意见生成</w:t>
            </w:r>
          </w:p>
        </w:tc>
      </w:tr>
      <w:tr w14:paraId="23221CEF">
        <w:tblPrEx>
          <w:tblCellMar>
            <w:top w:w="0" w:type="dxa"/>
            <w:left w:w="108" w:type="dxa"/>
            <w:bottom w:w="0" w:type="dxa"/>
            <w:right w:w="108" w:type="dxa"/>
          </w:tblCellMar>
        </w:tblPrEx>
        <w:tc>
          <w:tcPr>
            <w:tcW w:w="640" w:type="dxa"/>
          </w:tcPr>
          <w:p w14:paraId="50359D7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逾期天数</w:t>
            </w:r>
          </w:p>
        </w:tc>
        <w:tc>
          <w:tcPr>
            <w:tcW w:w="2335" w:type="dxa"/>
          </w:tcPr>
          <w:p w14:paraId="3BD352F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overdueDays</w:t>
            </w:r>
          </w:p>
        </w:tc>
        <w:tc>
          <w:tcPr>
            <w:tcW w:w="1225" w:type="dxa"/>
          </w:tcPr>
          <w:p w14:paraId="0ECE471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*贷款还款日期至实际还款日期的间隔天数，用于贷后风险预警</w:t>
            </w:r>
          </w:p>
        </w:tc>
        <w:tc>
          <w:tcPr>
            <w:tcW w:w="691" w:type="dxa"/>
          </w:tcPr>
          <w:p w14:paraId="51BDA80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w:t>
            </w:r>
          </w:p>
        </w:tc>
        <w:tc>
          <w:tcPr>
            <w:tcW w:w="1276" w:type="dxa"/>
          </w:tcPr>
          <w:p w14:paraId="05706CB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≥0</w:t>
            </w:r>
          </w:p>
        </w:tc>
        <w:tc>
          <w:tcPr>
            <w:tcW w:w="2547" w:type="dxa"/>
          </w:tcPr>
          <w:p w14:paraId="16AACC9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可空；未逾期时为0，逾期时为实际天数（如3天）；最大值无限制</w:t>
            </w:r>
          </w:p>
        </w:tc>
      </w:tr>
      <w:tr w14:paraId="4803E5C3">
        <w:tblPrEx>
          <w:tblCellMar>
            <w:top w:w="0" w:type="dxa"/>
            <w:left w:w="108" w:type="dxa"/>
            <w:bottom w:w="0" w:type="dxa"/>
            <w:right w:w="108" w:type="dxa"/>
          </w:tblCellMar>
        </w:tblPrEx>
        <w:tc>
          <w:tcPr>
            <w:tcW w:w="640" w:type="dxa"/>
          </w:tcPr>
          <w:p w14:paraId="26C454E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芝麻信用分</w:t>
            </w:r>
          </w:p>
        </w:tc>
        <w:tc>
          <w:tcPr>
            <w:tcW w:w="2335" w:type="dxa"/>
          </w:tcPr>
          <w:p w14:paraId="04FDB85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zhimaCreditScore</w:t>
            </w:r>
          </w:p>
        </w:tc>
        <w:tc>
          <w:tcPr>
            <w:tcW w:w="1225" w:type="dxa"/>
          </w:tcPr>
          <w:p w14:paraId="7F8E594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*芝麻信用平台提供的申请人信用评分，辅助风控决策</w:t>
            </w:r>
          </w:p>
        </w:tc>
        <w:tc>
          <w:tcPr>
            <w:tcW w:w="691" w:type="dxa"/>
          </w:tcPr>
          <w:p w14:paraId="124BE23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w:t>
            </w:r>
          </w:p>
        </w:tc>
        <w:tc>
          <w:tcPr>
            <w:tcW w:w="1276" w:type="dxa"/>
          </w:tcPr>
          <w:p w14:paraId="474C301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350-950</w:t>
            </w:r>
          </w:p>
        </w:tc>
        <w:tc>
          <w:tcPr>
            <w:tcW w:w="2547" w:type="dxa"/>
          </w:tcPr>
          <w:p w14:paraId="6D56B6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可空；取值范围350≤zhimaCreditScore≤950；缺失时不参与评分计算</w:t>
            </w:r>
          </w:p>
        </w:tc>
      </w:tr>
      <w:tr w14:paraId="6407264F">
        <w:tblPrEx>
          <w:tblCellMar>
            <w:top w:w="0" w:type="dxa"/>
            <w:left w:w="108" w:type="dxa"/>
            <w:bottom w:w="0" w:type="dxa"/>
            <w:right w:w="108" w:type="dxa"/>
          </w:tblCellMar>
        </w:tblPrEx>
        <w:tc>
          <w:tcPr>
            <w:tcW w:w="640" w:type="dxa"/>
          </w:tcPr>
          <w:p w14:paraId="4B5AA60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征信逾期次数（近1年）</w:t>
            </w:r>
          </w:p>
        </w:tc>
        <w:tc>
          <w:tcPr>
            <w:tcW w:w="2335" w:type="dxa"/>
          </w:tcPr>
          <w:p w14:paraId="35FA109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creditOverdueCount1Y</w:t>
            </w:r>
          </w:p>
        </w:tc>
        <w:tc>
          <w:tcPr>
            <w:tcW w:w="1225" w:type="dxa"/>
          </w:tcPr>
          <w:p w14:paraId="77C471E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*央行征信报告中记录的申请人近1年逾期次数</w:t>
            </w:r>
          </w:p>
        </w:tc>
        <w:tc>
          <w:tcPr>
            <w:tcW w:w="691" w:type="dxa"/>
          </w:tcPr>
          <w:p w14:paraId="5EFA3ED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w:t>
            </w:r>
          </w:p>
        </w:tc>
        <w:tc>
          <w:tcPr>
            <w:tcW w:w="1276" w:type="dxa"/>
          </w:tcPr>
          <w:p w14:paraId="2B7A87A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≥0</w:t>
            </w:r>
          </w:p>
        </w:tc>
        <w:tc>
          <w:tcPr>
            <w:tcW w:w="2547" w:type="dxa"/>
          </w:tcPr>
          <w:p w14:paraId="4DF3D99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非空；取值≥0；“连三累六”时该字段标注为“异常”（如“6（连三）”）（creditOverdueRemark（VARCHAR）：备注“连三”“累六”等异常标签）</w:t>
            </w:r>
          </w:p>
        </w:tc>
      </w:tr>
      <w:tr w14:paraId="0784ADD7">
        <w:tblPrEx>
          <w:tblCellMar>
            <w:top w:w="0" w:type="dxa"/>
            <w:left w:w="108" w:type="dxa"/>
            <w:bottom w:w="0" w:type="dxa"/>
            <w:right w:w="108" w:type="dxa"/>
          </w:tblCellMar>
        </w:tblPrEx>
        <w:tc>
          <w:tcPr>
            <w:tcW w:w="640" w:type="dxa"/>
          </w:tcPr>
          <w:p w14:paraId="387C391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放款时间</w:t>
            </w:r>
          </w:p>
        </w:tc>
        <w:tc>
          <w:tcPr>
            <w:tcW w:w="2335" w:type="dxa"/>
          </w:tcPr>
          <w:p w14:paraId="1BBB89E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loanDisburseTime</w:t>
            </w:r>
          </w:p>
        </w:tc>
        <w:tc>
          <w:tcPr>
            <w:tcW w:w="1225" w:type="dxa"/>
          </w:tcPr>
          <w:p w14:paraId="4429E51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*核心信贷系统完成放款的时间</w:t>
            </w:r>
          </w:p>
        </w:tc>
        <w:tc>
          <w:tcPr>
            <w:tcW w:w="691" w:type="dxa"/>
          </w:tcPr>
          <w:p w14:paraId="60A7D1E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DATETIME</w:t>
            </w:r>
          </w:p>
        </w:tc>
        <w:tc>
          <w:tcPr>
            <w:tcW w:w="1276" w:type="dxa"/>
          </w:tcPr>
          <w:p w14:paraId="70163DD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YYYY-MM-DD HH:MM:SS</w:t>
            </w:r>
          </w:p>
        </w:tc>
        <w:tc>
          <w:tcPr>
            <w:tcW w:w="2547" w:type="dxa"/>
          </w:tcPr>
          <w:p w14:paraId="44A8708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可空（当 approvalResult = ‘通过’ 时允许非空；否则必须为 NULL）；审批通过后生成；格式需符合MySQL DATETIME标准</w:t>
            </w:r>
          </w:p>
        </w:tc>
      </w:tr>
      <w:bookmarkEnd w:id="70"/>
    </w:tbl>
    <w:p w14:paraId="665DF9C3">
      <w:pPr>
        <w:pStyle w:val="8"/>
        <w:rPr>
          <w:rFonts w:hint="eastAsia" w:ascii="宋体" w:hAnsi="宋体" w:eastAsia="宋体" w:cs="宋体"/>
          <w:b w:val="0"/>
          <w:bCs w:val="0"/>
          <w:sz w:val="24"/>
          <w:szCs w:val="24"/>
          <w:lang w:val="en-US" w:eastAsia="zh-CN"/>
        </w:rPr>
      </w:pPr>
      <w:bookmarkStart w:id="71" w:name="X4894e8eb1575f4096842496c55b6b39956ba53e"/>
      <w:r>
        <w:rPr>
          <w:rFonts w:hint="eastAsia" w:ascii="宋体" w:hAnsi="宋体" w:eastAsia="宋体" w:cs="宋体"/>
          <w:b w:val="0"/>
          <w:bCs w:val="0"/>
          <w:sz w:val="24"/>
          <w:szCs w:val="24"/>
          <w:lang w:val="en-US" w:eastAsia="zh-CN"/>
        </w:rPr>
        <w:t>8.2.2 选择项</w:t>
      </w:r>
    </w:p>
    <w:tbl>
      <w:tblPr>
        <w:tblStyle w:val="49"/>
        <w:tblW w:w="0" w:type="auto"/>
        <w:tblInd w:w="0" w:type="dxa"/>
        <w:tblLayout w:type="fixed"/>
        <w:tblCellMar>
          <w:top w:w="0" w:type="dxa"/>
          <w:left w:w="108" w:type="dxa"/>
          <w:bottom w:w="0" w:type="dxa"/>
          <w:right w:w="108" w:type="dxa"/>
        </w:tblCellMar>
      </w:tblPr>
      <w:tblGrid>
        <w:gridCol w:w="516"/>
        <w:gridCol w:w="1723"/>
        <w:gridCol w:w="1835"/>
        <w:gridCol w:w="1056"/>
        <w:gridCol w:w="509"/>
        <w:gridCol w:w="2542"/>
      </w:tblGrid>
      <w:tr w14:paraId="12BB4DD4">
        <w:tblPrEx>
          <w:tblCellMar>
            <w:top w:w="0" w:type="dxa"/>
            <w:left w:w="108" w:type="dxa"/>
            <w:bottom w:w="0" w:type="dxa"/>
            <w:right w:w="108" w:type="dxa"/>
          </w:tblCellMar>
        </w:tblPrEx>
        <w:trPr>
          <w:tblHeader/>
        </w:trPr>
        <w:tc>
          <w:tcPr>
            <w:tcW w:w="516" w:type="dxa"/>
          </w:tcPr>
          <w:p w14:paraId="4576399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中文名称</w:t>
            </w:r>
          </w:p>
        </w:tc>
        <w:tc>
          <w:tcPr>
            <w:tcW w:w="1723" w:type="dxa"/>
          </w:tcPr>
          <w:p w14:paraId="07129C6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英文名称</w:t>
            </w:r>
          </w:p>
        </w:tc>
        <w:tc>
          <w:tcPr>
            <w:tcW w:w="1835" w:type="dxa"/>
          </w:tcPr>
          <w:p w14:paraId="4B9C801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定义</w:t>
            </w:r>
          </w:p>
        </w:tc>
        <w:tc>
          <w:tcPr>
            <w:tcW w:w="1056" w:type="dxa"/>
          </w:tcPr>
          <w:p w14:paraId="652C28B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类型</w:t>
            </w:r>
          </w:p>
        </w:tc>
        <w:tc>
          <w:tcPr>
            <w:tcW w:w="509" w:type="dxa"/>
          </w:tcPr>
          <w:p w14:paraId="75F8F04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格式/长度</w:t>
            </w:r>
          </w:p>
        </w:tc>
        <w:tc>
          <w:tcPr>
            <w:tcW w:w="2542" w:type="dxa"/>
          </w:tcPr>
          <w:p w14:paraId="724A898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约束</w:t>
            </w:r>
          </w:p>
        </w:tc>
      </w:tr>
      <w:tr w14:paraId="2A13A9DC">
        <w:tblPrEx>
          <w:tblCellMar>
            <w:top w:w="0" w:type="dxa"/>
            <w:left w:w="108" w:type="dxa"/>
            <w:bottom w:w="0" w:type="dxa"/>
            <w:right w:w="108" w:type="dxa"/>
          </w:tblCellMar>
        </w:tblPrEx>
        <w:tc>
          <w:tcPr>
            <w:tcW w:w="516" w:type="dxa"/>
          </w:tcPr>
          <w:p w14:paraId="6A284F1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风控结果</w:t>
            </w:r>
          </w:p>
        </w:tc>
        <w:tc>
          <w:tcPr>
            <w:tcW w:w="1723" w:type="dxa"/>
          </w:tcPr>
          <w:p w14:paraId="71F236C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riskControlResult</w:t>
            </w:r>
          </w:p>
        </w:tc>
        <w:tc>
          <w:tcPr>
            <w:tcW w:w="1835" w:type="dxa"/>
          </w:tcPr>
          <w:p w14:paraId="4FCEF81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[通过|拒绝|人工复核] + *系统基于风险评分生成的初步风控结论</w:t>
            </w:r>
          </w:p>
        </w:tc>
        <w:tc>
          <w:tcPr>
            <w:tcW w:w="1056" w:type="dxa"/>
          </w:tcPr>
          <w:p w14:paraId="7397A994">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509" w:type="dxa"/>
          </w:tcPr>
          <w:p w14:paraId="4415699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10位字符</w:t>
            </w:r>
          </w:p>
        </w:tc>
        <w:tc>
          <w:tcPr>
            <w:tcW w:w="2542" w:type="dxa"/>
          </w:tcPr>
          <w:p w14:paraId="7415C33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非空；仅允许取值“通过”“拒绝”“人工复核”；与风险评分联动（≥600：通过，500 ≤ riskScore &lt; 600 → “人工复核”，riskScore &lt; 500 → “拒绝”）</w:t>
            </w:r>
          </w:p>
        </w:tc>
      </w:tr>
      <w:tr w14:paraId="73665733">
        <w:tblPrEx>
          <w:tblCellMar>
            <w:top w:w="0" w:type="dxa"/>
            <w:left w:w="108" w:type="dxa"/>
            <w:bottom w:w="0" w:type="dxa"/>
            <w:right w:w="108" w:type="dxa"/>
          </w:tblCellMar>
        </w:tblPrEx>
        <w:tc>
          <w:tcPr>
            <w:tcW w:w="516" w:type="dxa"/>
          </w:tcPr>
          <w:p w14:paraId="56422F5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贷款用途</w:t>
            </w:r>
          </w:p>
        </w:tc>
        <w:tc>
          <w:tcPr>
            <w:tcW w:w="1723" w:type="dxa"/>
          </w:tcPr>
          <w:p w14:paraId="6C686C3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loanPurpose</w:t>
            </w:r>
          </w:p>
        </w:tc>
        <w:tc>
          <w:tcPr>
            <w:tcW w:w="1835" w:type="dxa"/>
          </w:tcPr>
          <w:p w14:paraId="7F9C179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[装修|购车|教育|医疗|其他] + *申请人填写的贷款资金用途</w:t>
            </w:r>
          </w:p>
        </w:tc>
        <w:tc>
          <w:tcPr>
            <w:tcW w:w="1056" w:type="dxa"/>
          </w:tcPr>
          <w:p w14:paraId="160DEF2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509" w:type="dxa"/>
          </w:tcPr>
          <w:p w14:paraId="23D827C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10位字符</w:t>
            </w:r>
          </w:p>
        </w:tc>
        <w:tc>
          <w:tcPr>
            <w:tcW w:w="2542" w:type="dxa"/>
          </w:tcPr>
          <w:p w14:paraId="6FE26CC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非空；仅允许取值“装修”“购车”“教育”“医疗”“其他”；“其他”需补充说明</w:t>
            </w:r>
          </w:p>
        </w:tc>
      </w:tr>
      <w:tr w14:paraId="28964F45">
        <w:tblPrEx>
          <w:tblCellMar>
            <w:top w:w="0" w:type="dxa"/>
            <w:left w:w="108" w:type="dxa"/>
            <w:bottom w:w="0" w:type="dxa"/>
            <w:right w:w="108" w:type="dxa"/>
          </w:tblCellMar>
        </w:tblPrEx>
        <w:tc>
          <w:tcPr>
            <w:tcW w:w="516" w:type="dxa"/>
          </w:tcPr>
          <w:p w14:paraId="2FA05FA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逾期等级</w:t>
            </w:r>
          </w:p>
        </w:tc>
        <w:tc>
          <w:tcPr>
            <w:tcW w:w="1723" w:type="dxa"/>
          </w:tcPr>
          <w:p w14:paraId="0194EC4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overdueLevel</w:t>
            </w:r>
          </w:p>
        </w:tc>
        <w:tc>
          <w:tcPr>
            <w:tcW w:w="1835" w:type="dxa"/>
          </w:tcPr>
          <w:p w14:paraId="3B2782E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[轻度|中度|重度|严重] + *根据逾期天数划分的贷后风险等级</w:t>
            </w:r>
          </w:p>
        </w:tc>
        <w:tc>
          <w:tcPr>
            <w:tcW w:w="1056" w:type="dxa"/>
          </w:tcPr>
          <w:p w14:paraId="3E22F30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509" w:type="dxa"/>
          </w:tcPr>
          <w:p w14:paraId="54E4F4AF">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10位字符</w:t>
            </w:r>
          </w:p>
        </w:tc>
        <w:tc>
          <w:tcPr>
            <w:tcW w:w="2542" w:type="dxa"/>
          </w:tcPr>
          <w:p w14:paraId="57F1269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overdueDays = 0 或 NULL ：NULL；逾期1-3天：轻度，4-7天：中度，8-30天：重度，&gt;30天：严重</w:t>
            </w:r>
          </w:p>
        </w:tc>
      </w:tr>
      <w:tr w14:paraId="52BBDFC9">
        <w:tblPrEx>
          <w:tblCellMar>
            <w:top w:w="0" w:type="dxa"/>
            <w:left w:w="108" w:type="dxa"/>
            <w:bottom w:w="0" w:type="dxa"/>
            <w:right w:w="108" w:type="dxa"/>
          </w:tblCellMar>
        </w:tblPrEx>
        <w:tc>
          <w:tcPr>
            <w:tcW w:w="516" w:type="dxa"/>
          </w:tcPr>
          <w:p w14:paraId="35295637">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用户角色</w:t>
            </w:r>
          </w:p>
        </w:tc>
        <w:tc>
          <w:tcPr>
            <w:tcW w:w="1723" w:type="dxa"/>
          </w:tcPr>
          <w:p w14:paraId="79222A7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userRole</w:t>
            </w:r>
          </w:p>
        </w:tc>
        <w:tc>
          <w:tcPr>
            <w:tcW w:w="1835" w:type="dxa"/>
          </w:tcPr>
          <w:p w14:paraId="04311B9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[申请人|普通审核员|审核主管|模型工程师|管理员] + *系统用户的角色类型</w:t>
            </w:r>
          </w:p>
        </w:tc>
        <w:tc>
          <w:tcPr>
            <w:tcW w:w="1056" w:type="dxa"/>
          </w:tcPr>
          <w:p w14:paraId="34ECB56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509" w:type="dxa"/>
          </w:tcPr>
          <w:p w14:paraId="2F5C49B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15位字符</w:t>
            </w:r>
          </w:p>
        </w:tc>
        <w:tc>
          <w:tcPr>
            <w:tcW w:w="2542" w:type="dxa"/>
          </w:tcPr>
          <w:p w14:paraId="710B73D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非空；仅允许取值预设角色；不同角色对应不同权限</w:t>
            </w:r>
          </w:p>
        </w:tc>
      </w:tr>
      <w:tr w14:paraId="627EED15">
        <w:tblPrEx>
          <w:tblCellMar>
            <w:top w:w="0" w:type="dxa"/>
            <w:left w:w="108" w:type="dxa"/>
            <w:bottom w:w="0" w:type="dxa"/>
            <w:right w:w="108" w:type="dxa"/>
          </w:tblCellMar>
        </w:tblPrEx>
        <w:tc>
          <w:tcPr>
            <w:tcW w:w="516" w:type="dxa"/>
          </w:tcPr>
          <w:p w14:paraId="1ACB093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数据源类型</w:t>
            </w:r>
          </w:p>
        </w:tc>
        <w:tc>
          <w:tcPr>
            <w:tcW w:w="1723" w:type="dxa"/>
          </w:tcPr>
          <w:p w14:paraId="6E338CE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dataSourceType</w:t>
            </w:r>
          </w:p>
        </w:tc>
        <w:tc>
          <w:tcPr>
            <w:tcW w:w="1835" w:type="dxa"/>
          </w:tcPr>
          <w:p w14:paraId="77E51C3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[央行征信|芝麻信用|消费数据|公安身份|其他] + *系统接入的数据源类别</w:t>
            </w:r>
          </w:p>
        </w:tc>
        <w:tc>
          <w:tcPr>
            <w:tcW w:w="1056" w:type="dxa"/>
          </w:tcPr>
          <w:p w14:paraId="05A89282">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VARCHAR</w:t>
            </w:r>
          </w:p>
        </w:tc>
        <w:tc>
          <w:tcPr>
            <w:tcW w:w="509" w:type="dxa"/>
          </w:tcPr>
          <w:p w14:paraId="6FA0D14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15位字符</w:t>
            </w:r>
          </w:p>
        </w:tc>
        <w:tc>
          <w:tcPr>
            <w:tcW w:w="2542" w:type="dxa"/>
          </w:tcPr>
          <w:p w14:paraId="6DCB0A5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非空；仅允许取值预设数据源类型；核心数据源（央行征信、公安身份）不可缺失</w:t>
            </w:r>
          </w:p>
        </w:tc>
      </w:tr>
      <w:bookmarkEnd w:id="71"/>
    </w:tbl>
    <w:p w14:paraId="4F2DA0A5">
      <w:pPr>
        <w:pStyle w:val="8"/>
        <w:rPr>
          <w:rFonts w:hint="eastAsia" w:ascii="宋体" w:hAnsi="宋体" w:eastAsia="宋体" w:cs="宋体"/>
          <w:b w:val="0"/>
          <w:bCs w:val="0"/>
          <w:sz w:val="24"/>
          <w:szCs w:val="24"/>
          <w:lang w:val="en-US" w:eastAsia="zh-CN"/>
        </w:rPr>
      </w:pPr>
      <w:bookmarkStart w:id="72" w:name="Xc54cdc5548e10e89075a77c922e09d07c11f408"/>
      <w:r>
        <w:rPr>
          <w:rFonts w:hint="eastAsia" w:ascii="宋体" w:hAnsi="宋体" w:eastAsia="宋体" w:cs="宋体"/>
          <w:b w:val="0"/>
          <w:bCs w:val="0"/>
          <w:sz w:val="24"/>
          <w:szCs w:val="24"/>
          <w:lang w:val="en-US" w:eastAsia="zh-CN"/>
        </w:rPr>
        <w:t>8.2.3 组合项</w:t>
      </w:r>
    </w:p>
    <w:tbl>
      <w:tblPr>
        <w:tblStyle w:val="49"/>
        <w:tblW w:w="0" w:type="auto"/>
        <w:tblInd w:w="0" w:type="dxa"/>
        <w:tblLayout w:type="autofit"/>
        <w:tblCellMar>
          <w:top w:w="0" w:type="dxa"/>
          <w:left w:w="108" w:type="dxa"/>
          <w:bottom w:w="0" w:type="dxa"/>
          <w:right w:w="108" w:type="dxa"/>
        </w:tblCellMar>
      </w:tblPr>
      <w:tblGrid>
        <w:gridCol w:w="733"/>
        <w:gridCol w:w="2736"/>
        <w:gridCol w:w="1507"/>
        <w:gridCol w:w="1248"/>
        <w:gridCol w:w="2490"/>
      </w:tblGrid>
      <w:tr w14:paraId="25B231A8">
        <w:tblPrEx>
          <w:tblCellMar>
            <w:top w:w="0" w:type="dxa"/>
            <w:left w:w="108" w:type="dxa"/>
            <w:bottom w:w="0" w:type="dxa"/>
            <w:right w:w="108" w:type="dxa"/>
          </w:tblCellMar>
        </w:tblPrEx>
        <w:trPr>
          <w:tblHeader/>
        </w:trPr>
        <w:tc>
          <w:p w14:paraId="4AF837E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中文名称</w:t>
            </w:r>
          </w:p>
        </w:tc>
        <w:tc>
          <w:p w14:paraId="4FC5296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英文名称</w:t>
            </w:r>
          </w:p>
        </w:tc>
        <w:tc>
          <w:p w14:paraId="128F057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定义</w:t>
            </w:r>
          </w:p>
        </w:tc>
        <w:tc>
          <w:p w14:paraId="3F0A2A0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组成结构</w:t>
            </w:r>
          </w:p>
        </w:tc>
        <w:tc>
          <w:p w14:paraId="7C4105BC">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约束</w:t>
            </w:r>
          </w:p>
        </w:tc>
      </w:tr>
      <w:tr w14:paraId="73880B77">
        <w:tblPrEx>
          <w:tblCellMar>
            <w:top w:w="0" w:type="dxa"/>
            <w:left w:w="108" w:type="dxa"/>
            <w:bottom w:w="0" w:type="dxa"/>
            <w:right w:w="108" w:type="dxa"/>
          </w:tblCellMar>
        </w:tblPrEx>
        <w:tc>
          <w:p w14:paraId="5A7A2FE3">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申请人基本信息</w:t>
            </w:r>
          </w:p>
        </w:tc>
        <w:tc>
          <w:p w14:paraId="5D94AF0E">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applicantBasicInfo</w:t>
            </w:r>
          </w:p>
        </w:tc>
        <w:tc>
          <w:p w14:paraId="351CCBC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*申请人核心身份与联系信息，用于身份验证与通知</w:t>
            </w:r>
          </w:p>
        </w:tc>
        <w:tc>
          <w:p w14:paraId="111542DA">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申请人姓名 + 申请人身份证号 + 申请人手机号</w:t>
            </w:r>
          </w:p>
        </w:tc>
        <w:tc>
          <w:p w14:paraId="3FA13DED">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非空项：姓名、身份证号、手机号</w:t>
            </w:r>
          </w:p>
        </w:tc>
      </w:tr>
      <w:tr w14:paraId="18F03354">
        <w:tblPrEx>
          <w:tblCellMar>
            <w:top w:w="0" w:type="dxa"/>
            <w:left w:w="108" w:type="dxa"/>
            <w:bottom w:w="0" w:type="dxa"/>
            <w:right w:w="108" w:type="dxa"/>
          </w:tblCellMar>
        </w:tblPrEx>
        <w:tc>
          <w:p w14:paraId="6B5F74AB">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贷款申请核心参数</w:t>
            </w:r>
          </w:p>
        </w:tc>
        <w:tc>
          <w:p w14:paraId="4E0EA3F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loanApplicationParams</w:t>
            </w:r>
          </w:p>
        </w:tc>
        <w:tc>
          <w:p w14:paraId="10E442F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*贷款申请的关键参数，用于风控计算与合同生成</w:t>
            </w:r>
          </w:p>
        </w:tc>
        <w:tc>
          <w:p w14:paraId="26598A09">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贷款金额 + 贷款期限 + 贷款用途 + 申请日期</w:t>
            </w:r>
          </w:p>
        </w:tc>
        <w:tc>
          <w:p w14:paraId="4A45E3A6">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所有组成项非空；申请日期格式为“YYYY-MM-DD”</w:t>
            </w:r>
          </w:p>
        </w:tc>
      </w:tr>
      <w:tr w14:paraId="136EF7A1">
        <w:tblPrEx>
          <w:tblCellMar>
            <w:top w:w="0" w:type="dxa"/>
            <w:left w:w="108" w:type="dxa"/>
            <w:bottom w:w="0" w:type="dxa"/>
            <w:right w:w="108" w:type="dxa"/>
          </w:tblCellMar>
        </w:tblPrEx>
        <w:tc>
          <w:p w14:paraId="4E3B58B1">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风控报告核心信息</w:t>
            </w:r>
          </w:p>
        </w:tc>
        <w:tc>
          <w:p w14:paraId="6C12DAA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riskReportCoreInfo</w:t>
            </w:r>
          </w:p>
        </w:tc>
        <w:tc>
          <w:p w14:paraId="09E19328">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*风控报告的关键内容，供审核员决策使用</w:t>
            </w:r>
          </w:p>
        </w:tc>
        <w:tc>
          <w:p w14:paraId="13068350">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申请日期</w:t>
            </w:r>
          </w:p>
        </w:tc>
        <w:tc>
          <w:p w14:paraId="356B9635">
            <w:pPr>
              <w:pStyle w:val="8"/>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非空</w:t>
            </w:r>
          </w:p>
        </w:tc>
      </w:tr>
      <w:bookmarkEnd w:id="41"/>
      <w:bookmarkEnd w:id="67"/>
      <w:bookmarkEnd w:id="69"/>
      <w:bookmarkEnd w:id="72"/>
    </w:tbl>
    <w:p w14:paraId="6F162AC6">
      <w:pPr>
        <w:pStyle w:val="8"/>
        <w:rPr>
          <w:rFonts w:hint="eastAsia" w:ascii="宋体" w:hAnsi="宋体" w:eastAsia="宋体" w:cs="宋体"/>
          <w:b/>
          <w:bCs/>
          <w:sz w:val="24"/>
          <w:szCs w:val="24"/>
          <w:lang w:val="en-US" w:eastAsia="zh-CN"/>
        </w:rPr>
      </w:pPr>
    </w:p>
    <w:p w14:paraId="26A3CB64">
      <w:pPr>
        <w:pStyle w:val="8"/>
        <w:rPr>
          <w:rFonts w:hint="eastAsia" w:ascii="宋体" w:hAnsi="宋体" w:eastAsia="宋体" w:cs="宋体"/>
          <w:b/>
          <w:bCs/>
          <w:sz w:val="24"/>
          <w:szCs w:val="24"/>
          <w:lang w:val="en-US" w:eastAsia="zh-CN"/>
        </w:rPr>
      </w:pPr>
    </w:p>
    <w:p w14:paraId="427B2356">
      <w:pPr>
        <w:pStyle w:val="8"/>
        <w:rPr>
          <w:rFonts w:hint="eastAsia" w:ascii="宋体" w:hAnsi="宋体" w:eastAsia="宋体" w:cs="宋体"/>
          <w:b/>
          <w:bCs/>
          <w:sz w:val="24"/>
          <w:szCs w:val="24"/>
          <w:lang w:val="en-US" w:eastAsia="zh-CN"/>
        </w:rPr>
      </w:pPr>
    </w:p>
    <w:p w14:paraId="321DE55F">
      <w:pPr>
        <w:pStyle w:val="8"/>
        <w:rPr>
          <w:rFonts w:hint="eastAsia" w:ascii="宋体" w:hAnsi="宋体" w:eastAsia="宋体" w:cs="宋体"/>
          <w:b/>
          <w:bCs/>
          <w:sz w:val="24"/>
          <w:szCs w:val="24"/>
          <w:lang w:val="en-US" w:eastAsia="zh-CN"/>
        </w:rPr>
      </w:pPr>
    </w:p>
    <w:p w14:paraId="229B048F">
      <w:pPr>
        <w:pStyle w:val="8"/>
        <w:rPr>
          <w:rFonts w:hint="eastAsia" w:ascii="宋体" w:hAnsi="宋体" w:eastAsia="宋体" w:cs="宋体"/>
          <w:b/>
          <w:bCs/>
          <w:sz w:val="24"/>
          <w:szCs w:val="24"/>
          <w:lang w:val="en-US" w:eastAsia="zh-CN"/>
        </w:rPr>
      </w:pPr>
    </w:p>
    <w:p w14:paraId="33D6F4D3">
      <w:pPr>
        <w:pStyle w:val="8"/>
        <w:rPr>
          <w:rFonts w:hint="eastAsia" w:ascii="宋体" w:hAnsi="宋体" w:eastAsia="宋体" w:cs="宋体"/>
          <w:b/>
          <w:bCs/>
          <w:sz w:val="24"/>
          <w:szCs w:val="24"/>
          <w:lang w:val="en-US" w:eastAsia="zh-CN"/>
        </w:rPr>
      </w:pPr>
    </w:p>
    <w:p w14:paraId="5FE48554">
      <w:pPr>
        <w:pStyle w:val="8"/>
        <w:rPr>
          <w:rFonts w:hint="eastAsia" w:ascii="宋体" w:hAnsi="宋体" w:eastAsia="宋体" w:cs="宋体"/>
          <w:b/>
          <w:bCs/>
          <w:sz w:val="24"/>
          <w:szCs w:val="24"/>
          <w:lang w:val="en-US" w:eastAsia="zh-CN"/>
        </w:rPr>
      </w:pPr>
    </w:p>
    <w:p w14:paraId="5D93F0B5">
      <w:pPr>
        <w:pStyle w:val="8"/>
        <w:rPr>
          <w:rFonts w:hint="eastAsia" w:ascii="宋体" w:hAnsi="宋体" w:eastAsia="宋体" w:cs="宋体"/>
          <w:b/>
          <w:bCs/>
          <w:sz w:val="24"/>
          <w:szCs w:val="24"/>
          <w:lang w:val="en-US" w:eastAsia="zh-CN"/>
        </w:rPr>
      </w:pPr>
    </w:p>
    <w:p w14:paraId="61770527">
      <w:pPr>
        <w:pStyle w:val="8"/>
        <w:rPr>
          <w:rFonts w:hint="eastAsia" w:ascii="宋体" w:hAnsi="宋体" w:eastAsia="宋体" w:cs="宋体"/>
          <w:b/>
          <w:bCs/>
          <w:sz w:val="24"/>
          <w:szCs w:val="24"/>
          <w:lang w:val="en-US" w:eastAsia="zh-CN"/>
        </w:rPr>
      </w:pPr>
    </w:p>
    <w:p w14:paraId="131946F4">
      <w:pPr>
        <w:pStyle w:val="8"/>
        <w:rPr>
          <w:rFonts w:hint="eastAsia" w:ascii="宋体" w:hAnsi="宋体" w:eastAsia="宋体" w:cs="宋体"/>
          <w:b/>
          <w:bCs/>
          <w:sz w:val="24"/>
          <w:szCs w:val="24"/>
          <w:lang w:val="en-US" w:eastAsia="zh-CN"/>
        </w:rPr>
      </w:pPr>
    </w:p>
    <w:p w14:paraId="60754EB1">
      <w:pPr>
        <w:pStyle w:val="8"/>
        <w:rPr>
          <w:rFonts w:hint="eastAsia" w:ascii="宋体" w:hAnsi="宋体" w:eastAsia="宋体" w:cs="宋体"/>
          <w:b/>
          <w:bCs/>
          <w:sz w:val="24"/>
          <w:szCs w:val="24"/>
          <w:lang w:val="en-US" w:eastAsia="zh-CN"/>
        </w:rPr>
      </w:pPr>
    </w:p>
    <w:p w14:paraId="7C3E1981">
      <w:pPr>
        <w:pStyle w:val="8"/>
        <w:rPr>
          <w:rFonts w:hint="eastAsia" w:ascii="宋体" w:hAnsi="宋体" w:eastAsia="宋体" w:cs="宋体"/>
          <w:b/>
          <w:bCs/>
          <w:sz w:val="24"/>
          <w:szCs w:val="24"/>
          <w:lang w:val="en-US" w:eastAsia="zh-CN"/>
        </w:rPr>
      </w:pPr>
    </w:p>
    <w:p w14:paraId="5C3313AB">
      <w:pPr>
        <w:pStyle w:val="8"/>
        <w:rPr>
          <w:rFonts w:hint="eastAsia" w:ascii="宋体" w:hAnsi="宋体" w:eastAsia="宋体" w:cs="宋体"/>
          <w:b/>
          <w:bCs/>
          <w:sz w:val="24"/>
          <w:szCs w:val="24"/>
          <w:lang w:val="en-US" w:eastAsia="zh-CN"/>
        </w:rPr>
      </w:pPr>
    </w:p>
    <w:p w14:paraId="308E003E">
      <w:pPr>
        <w:pStyle w:val="8"/>
        <w:rPr>
          <w:rFonts w:hint="eastAsia" w:ascii="宋体" w:hAnsi="宋体" w:eastAsia="宋体" w:cs="宋体"/>
          <w:b/>
          <w:bCs/>
          <w:sz w:val="24"/>
          <w:szCs w:val="24"/>
          <w:lang w:val="en-US" w:eastAsia="zh-CN"/>
        </w:rPr>
      </w:pPr>
    </w:p>
    <w:p w14:paraId="5C009E8D">
      <w:pPr>
        <w:pStyle w:val="8"/>
        <w:rPr>
          <w:rFonts w:hint="eastAsia" w:ascii="宋体" w:hAnsi="宋体" w:eastAsia="宋体" w:cs="宋体"/>
          <w:b/>
          <w:bCs/>
          <w:sz w:val="24"/>
          <w:szCs w:val="24"/>
          <w:lang w:val="en-US" w:eastAsia="zh-CN"/>
        </w:rPr>
      </w:pPr>
    </w:p>
    <w:p w14:paraId="130FA70B">
      <w:pPr>
        <w:pStyle w:val="8"/>
        <w:rPr>
          <w:rFonts w:hint="eastAsia" w:ascii="宋体" w:hAnsi="宋体" w:eastAsia="宋体" w:cs="宋体"/>
          <w:b/>
          <w:bCs/>
          <w:sz w:val="24"/>
          <w:szCs w:val="24"/>
          <w:lang w:val="en-US" w:eastAsia="zh-CN"/>
        </w:rPr>
      </w:pPr>
    </w:p>
    <w:p w14:paraId="4208CA9A">
      <w:pPr>
        <w:pStyle w:val="8"/>
        <w:rPr>
          <w:rFonts w:hint="eastAsia" w:ascii="宋体" w:hAnsi="宋体" w:eastAsia="宋体" w:cs="宋体"/>
          <w:b/>
          <w:bCs/>
          <w:sz w:val="24"/>
          <w:szCs w:val="24"/>
          <w:lang w:val="en-US" w:eastAsia="zh-CN"/>
        </w:rPr>
      </w:pPr>
    </w:p>
    <w:p w14:paraId="28BD7AB3">
      <w:pPr>
        <w:pStyle w:val="8"/>
        <w:rPr>
          <w:rFonts w:hint="eastAsia" w:ascii="宋体" w:hAnsi="宋体" w:eastAsia="宋体" w:cs="宋体"/>
          <w:b/>
          <w:bCs/>
          <w:sz w:val="24"/>
          <w:szCs w:val="24"/>
          <w:lang w:val="en-US" w:eastAsia="zh-CN"/>
        </w:rPr>
      </w:pPr>
    </w:p>
    <w:p w14:paraId="2A460559">
      <w:pPr>
        <w:pStyle w:val="8"/>
        <w:rPr>
          <w:rFonts w:hint="eastAsia" w:ascii="宋体" w:hAnsi="宋体" w:eastAsia="宋体" w:cs="宋体"/>
          <w:b/>
          <w:bCs/>
          <w:sz w:val="24"/>
          <w:szCs w:val="24"/>
          <w:lang w:val="en-US" w:eastAsia="zh-CN"/>
        </w:rPr>
      </w:pPr>
    </w:p>
    <w:p w14:paraId="3EB2CEA3">
      <w:pPr>
        <w:pStyle w:val="8"/>
        <w:rPr>
          <w:rFonts w:hint="eastAsia" w:ascii="宋体" w:hAnsi="宋体" w:eastAsia="宋体" w:cs="宋体"/>
          <w:b/>
          <w:bCs/>
          <w:sz w:val="24"/>
          <w:szCs w:val="24"/>
          <w:lang w:val="en-US" w:eastAsia="zh-CN"/>
        </w:rPr>
      </w:pPr>
    </w:p>
    <w:p w14:paraId="4354CFD1">
      <w:pPr>
        <w:pStyle w:val="8"/>
        <w:rPr>
          <w:rFonts w:hint="eastAsia" w:ascii="宋体" w:hAnsi="宋体" w:eastAsia="宋体" w:cs="宋体"/>
          <w:b/>
          <w:bCs/>
          <w:sz w:val="24"/>
          <w:szCs w:val="24"/>
          <w:lang w:val="en-US" w:eastAsia="zh-CN"/>
        </w:rPr>
      </w:pPr>
    </w:p>
    <w:p w14:paraId="0542FA77">
      <w:pPr>
        <w:pStyle w:val="8"/>
        <w:rPr>
          <w:rFonts w:hint="eastAsia" w:ascii="宋体" w:hAnsi="宋体" w:eastAsia="宋体" w:cs="宋体"/>
          <w:b/>
          <w:bCs/>
          <w:sz w:val="24"/>
          <w:szCs w:val="24"/>
          <w:lang w:val="en-US" w:eastAsia="zh-CN"/>
        </w:rPr>
      </w:pPr>
    </w:p>
    <w:p w14:paraId="60DDBF9C">
      <w:pPr>
        <w:pStyle w:val="8"/>
        <w:rPr>
          <w:rFonts w:hint="eastAsia" w:ascii="宋体" w:hAnsi="宋体" w:eastAsia="宋体" w:cs="宋体"/>
          <w:b/>
          <w:bCs/>
          <w:sz w:val="24"/>
          <w:szCs w:val="24"/>
          <w:lang w:val="en-US" w:eastAsia="zh-CN"/>
        </w:rPr>
      </w:pPr>
    </w:p>
    <w:p w14:paraId="62649CC7">
      <w:pPr>
        <w:pStyle w:val="8"/>
        <w:rPr>
          <w:rFonts w:hint="eastAsia" w:ascii="宋体" w:hAnsi="宋体" w:eastAsia="宋体" w:cs="宋体"/>
          <w:b/>
          <w:bCs/>
          <w:sz w:val="24"/>
          <w:szCs w:val="24"/>
          <w:lang w:val="en-US" w:eastAsia="zh-CN"/>
        </w:rPr>
      </w:pPr>
    </w:p>
    <w:p w14:paraId="3EB4B630">
      <w:pPr>
        <w:pStyle w:val="8"/>
        <w:rPr>
          <w:rFonts w:hint="eastAsia" w:ascii="宋体" w:hAnsi="宋体" w:eastAsia="宋体" w:cs="宋体"/>
          <w:b/>
          <w:bCs/>
          <w:sz w:val="24"/>
          <w:szCs w:val="24"/>
          <w:lang w:val="en-US" w:eastAsia="zh-CN"/>
        </w:rPr>
      </w:pPr>
    </w:p>
    <w:p w14:paraId="77AA9B4F">
      <w:pPr>
        <w:pStyle w:val="8"/>
        <w:rPr>
          <w:rFonts w:hint="eastAsia" w:ascii="宋体" w:hAnsi="宋体" w:eastAsia="宋体" w:cs="宋体"/>
          <w:b/>
          <w:bCs/>
          <w:sz w:val="24"/>
          <w:szCs w:val="24"/>
          <w:lang w:val="en-US" w:eastAsia="zh-CN"/>
        </w:rPr>
      </w:pPr>
    </w:p>
    <w:p w14:paraId="40D3837F">
      <w:pPr>
        <w:pStyle w:val="8"/>
        <w:rPr>
          <w:rFonts w:hint="eastAsia" w:ascii="宋体" w:hAnsi="宋体" w:eastAsia="宋体" w:cs="宋体"/>
          <w:b/>
          <w:bCs/>
          <w:sz w:val="24"/>
          <w:szCs w:val="24"/>
          <w:lang w:val="en-US" w:eastAsia="zh-CN"/>
        </w:rPr>
      </w:pPr>
    </w:p>
    <w:p w14:paraId="2DB2F64F">
      <w:pPr>
        <w:pStyle w:val="8"/>
        <w:rPr>
          <w:rFonts w:hint="eastAsia" w:ascii="宋体" w:hAnsi="宋体" w:eastAsia="宋体" w:cs="宋体"/>
          <w:b/>
          <w:bCs/>
          <w:sz w:val="24"/>
          <w:szCs w:val="24"/>
          <w:lang w:val="en-US" w:eastAsia="zh-CN"/>
        </w:rPr>
      </w:pPr>
    </w:p>
    <w:p w14:paraId="10F030C8">
      <w:pPr>
        <w:pStyle w:val="8"/>
        <w:rPr>
          <w:rFonts w:hint="eastAsia" w:ascii="宋体" w:hAnsi="宋体" w:eastAsia="宋体" w:cs="宋体"/>
          <w:b/>
          <w:bCs/>
          <w:sz w:val="24"/>
          <w:szCs w:val="24"/>
          <w:lang w:val="en-US" w:eastAsia="zh-CN"/>
        </w:rPr>
      </w:pPr>
    </w:p>
    <w:p w14:paraId="18043A24">
      <w:pPr>
        <w:pStyle w:val="8"/>
        <w:rPr>
          <w:rFonts w:hint="eastAsia" w:ascii="宋体" w:hAnsi="宋体" w:eastAsia="宋体" w:cs="宋体"/>
          <w:b/>
          <w:bCs/>
          <w:sz w:val="24"/>
          <w:szCs w:val="24"/>
          <w:lang w:val="en-US" w:eastAsia="zh-CN"/>
        </w:rPr>
      </w:pPr>
    </w:p>
    <w:p w14:paraId="19C0D208">
      <w:pPr>
        <w:pStyle w:val="8"/>
        <w:rPr>
          <w:rFonts w:hint="eastAsia" w:ascii="宋体" w:hAnsi="宋体" w:eastAsia="宋体" w:cs="宋体"/>
          <w:b/>
          <w:bCs/>
          <w:sz w:val="24"/>
          <w:szCs w:val="24"/>
          <w:lang w:val="en-US" w:eastAsia="zh-CN"/>
        </w:rPr>
      </w:pPr>
    </w:p>
    <w:p w14:paraId="5D6D0248">
      <w:pPr>
        <w:pStyle w:val="8"/>
        <w:rPr>
          <w:rFonts w:hint="eastAsia" w:ascii="宋体" w:hAnsi="宋体" w:eastAsia="宋体" w:cs="宋体"/>
          <w:b/>
          <w:bCs/>
          <w:sz w:val="24"/>
          <w:szCs w:val="24"/>
          <w:lang w:val="en-US" w:eastAsia="zh-CN"/>
        </w:rPr>
      </w:pPr>
    </w:p>
    <w:p w14:paraId="5C2C8723">
      <w:pPr>
        <w:pStyle w:val="8"/>
        <w:rPr>
          <w:rFonts w:hint="eastAsia" w:ascii="宋体" w:hAnsi="宋体" w:eastAsia="宋体" w:cs="宋体"/>
          <w:b/>
          <w:bCs/>
          <w:sz w:val="24"/>
          <w:szCs w:val="24"/>
          <w:lang w:val="en-US" w:eastAsia="zh-CN"/>
        </w:rPr>
      </w:pPr>
    </w:p>
    <w:p w14:paraId="34050156">
      <w:pPr>
        <w:pStyle w:val="8"/>
        <w:rPr>
          <w:rFonts w:hint="eastAsia" w:ascii="宋体" w:hAnsi="宋体" w:eastAsia="宋体" w:cs="宋体"/>
          <w:b/>
          <w:bCs/>
          <w:sz w:val="24"/>
          <w:szCs w:val="24"/>
          <w:lang w:val="en-US" w:eastAsia="zh-CN"/>
        </w:rPr>
      </w:pPr>
    </w:p>
    <w:p w14:paraId="635570B3">
      <w:pPr>
        <w:pStyle w:val="8"/>
        <w:rPr>
          <w:rFonts w:hint="eastAsia" w:ascii="宋体" w:hAnsi="宋体" w:eastAsia="宋体" w:cs="宋体"/>
          <w:b/>
          <w:bCs/>
          <w:sz w:val="24"/>
          <w:szCs w:val="24"/>
          <w:lang w:val="en-US" w:eastAsia="zh-CN"/>
        </w:rPr>
      </w:pPr>
    </w:p>
    <w:p w14:paraId="0C63DE6E">
      <w:pPr>
        <w:pStyle w:val="8"/>
        <w:rPr>
          <w:rFonts w:hint="eastAsia" w:ascii="宋体" w:hAnsi="宋体" w:eastAsia="宋体" w:cs="宋体"/>
          <w:b/>
          <w:bCs/>
          <w:sz w:val="24"/>
          <w:szCs w:val="24"/>
          <w:lang w:val="en-US" w:eastAsia="zh-CN"/>
        </w:rPr>
      </w:pPr>
    </w:p>
    <w:p w14:paraId="22C9F214">
      <w:pPr>
        <w:pStyle w:val="2"/>
        <w:bidi w:val="0"/>
        <w:rPr>
          <w:rFonts w:hint="eastAsia" w:ascii="宋体" w:hAnsi="宋体" w:cs="宋体"/>
          <w:b/>
          <w:bCs/>
          <w:sz w:val="24"/>
          <w:szCs w:val="24"/>
          <w:lang w:val="en-US" w:eastAsia="zh-CN"/>
        </w:rPr>
      </w:pPr>
      <w:r>
        <w:rPr>
          <w:rFonts w:hint="eastAsia"/>
          <w:lang w:val="en-US" w:eastAsia="zh-CN"/>
        </w:rPr>
        <w:t>附页2 技术选型文档</w:t>
      </w:r>
    </w:p>
    <w:p w14:paraId="12BE7857">
      <w:pPr>
        <w:pStyle w:val="4"/>
        <w:rPr>
          <w:rFonts w:hint="eastAsia" w:ascii="宋体" w:hAnsi="宋体" w:eastAsia="宋体" w:cs="宋体"/>
          <w:sz w:val="24"/>
          <w:szCs w:val="24"/>
        </w:rPr>
      </w:pPr>
      <w:bookmarkStart w:id="73" w:name="前端"/>
      <w:bookmarkStart w:id="74" w:name="技术选型"/>
      <w:r>
        <w:rPr>
          <w:rFonts w:hint="eastAsia" w:ascii="宋体" w:hAnsi="宋体" w:eastAsia="宋体" w:cs="宋体"/>
          <w:sz w:val="24"/>
          <w:szCs w:val="24"/>
        </w:rPr>
        <w:t>前端</w:t>
      </w:r>
    </w:p>
    <w:p w14:paraId="687C0E66">
      <w:pPr>
        <w:pStyle w:val="5"/>
        <w:rPr>
          <w:rFonts w:hint="eastAsia" w:ascii="宋体" w:hAnsi="宋体" w:eastAsia="宋体" w:cs="宋体"/>
          <w:sz w:val="24"/>
          <w:szCs w:val="24"/>
        </w:rPr>
      </w:pPr>
      <w:bookmarkStart w:id="75" w:name="android端"/>
      <w:r>
        <w:rPr>
          <w:rFonts w:hint="eastAsia" w:ascii="宋体" w:hAnsi="宋体" w:eastAsia="宋体" w:cs="宋体"/>
          <w:sz w:val="24"/>
          <w:szCs w:val="24"/>
        </w:rPr>
        <w:t>Android端</w:t>
      </w:r>
    </w:p>
    <w:p w14:paraId="4D811168">
      <w:pPr>
        <w:pStyle w:val="6"/>
        <w:rPr>
          <w:rFonts w:hint="eastAsia" w:ascii="宋体" w:hAnsi="宋体" w:eastAsia="宋体" w:cs="宋体"/>
          <w:sz w:val="24"/>
          <w:szCs w:val="24"/>
        </w:rPr>
      </w:pPr>
      <w:bookmarkStart w:id="76" w:name="开发语言java"/>
      <w:r>
        <w:rPr>
          <w:rFonts w:hint="eastAsia" w:ascii="宋体" w:hAnsi="宋体" w:eastAsia="宋体" w:cs="宋体"/>
          <w:sz w:val="24"/>
          <w:szCs w:val="24"/>
        </w:rPr>
        <w:t>开发语言：Java</w:t>
      </w:r>
    </w:p>
    <w:p w14:paraId="32BF121C">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：技术栈稳定成熟，与Android SDK原生集成度最高，团队学习成本和项目风险低。</w:t>
      </w:r>
    </w:p>
    <w:p w14:paraId="13E31AA4">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3B70FCB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生态稳定</w:t>
      </w:r>
      <w:r>
        <w:rPr>
          <w:rFonts w:hint="eastAsia" w:ascii="宋体" w:hAnsi="宋体" w:eastAsia="宋体" w:cs="宋体"/>
          <w:sz w:val="24"/>
          <w:szCs w:val="24"/>
        </w:rPr>
        <w:t>：海量教程、社区支持和第三方库，遇坑易填。</w:t>
      </w:r>
    </w:p>
    <w:p w14:paraId="6DD4351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工具链支持完善</w:t>
      </w:r>
      <w:r>
        <w:rPr>
          <w:rFonts w:hint="eastAsia" w:ascii="宋体" w:hAnsi="宋体" w:eastAsia="宋体" w:cs="宋体"/>
          <w:sz w:val="24"/>
          <w:szCs w:val="24"/>
        </w:rPr>
        <w:t>：Android Studio对其编译、调试和分析工具的支持已达极致。</w:t>
      </w:r>
    </w:p>
    <w:p w14:paraId="458CA8A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团队协作成本低</w:t>
      </w:r>
      <w:r>
        <w:rPr>
          <w:rFonts w:hint="eastAsia" w:ascii="宋体" w:hAnsi="宋体" w:eastAsia="宋体" w:cs="宋体"/>
          <w:sz w:val="24"/>
          <w:szCs w:val="24"/>
        </w:rPr>
        <w:t>：对于以Java为主的团队，无需额外的语言学习与转型。</w:t>
      </w:r>
    </w:p>
    <w:p w14:paraId="75BBD5F4">
      <w:pPr>
        <w:numPr>
          <w:ilvl w:val="2"/>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738A642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语言现代性不足</w:t>
      </w:r>
      <w:r>
        <w:rPr>
          <w:rFonts w:hint="eastAsia" w:ascii="宋体" w:hAnsi="宋体" w:eastAsia="宋体" w:cs="宋体"/>
          <w:sz w:val="24"/>
          <w:szCs w:val="24"/>
        </w:rPr>
        <w:t>：相比Kotlin，代码更冗长，缺少空安全、扩展函数等特性，可能导致更多的样板代码和潜在的空指针异常。</w:t>
      </w:r>
    </w:p>
    <w:p w14:paraId="26D416E7">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4D606C5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：在复杂业务逻辑下，代码可维护性和开发效率可能低于Kotlin。</w:t>
      </w:r>
    </w:p>
    <w:p w14:paraId="59BCB2F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：制定严格的代码规范（如使用</w:t>
      </w:r>
      <w:r>
        <w:rPr>
          <w:rStyle w:val="50"/>
          <w:rFonts w:hint="eastAsia" w:ascii="宋体" w:hAnsi="宋体" w:eastAsia="宋体" w:cs="宋体"/>
          <w:sz w:val="24"/>
          <w:szCs w:val="24"/>
        </w:rPr>
        <w:t>@Nullable</w:t>
      </w:r>
      <w:r>
        <w:rPr>
          <w:rFonts w:hint="eastAsia" w:ascii="宋体" w:hAnsi="宋体" w:eastAsia="宋体" w:cs="宋体"/>
          <w:sz w:val="24"/>
          <w:szCs w:val="24"/>
        </w:rPr>
        <w:t>/</w:t>
      </w:r>
      <w:r>
        <w:rPr>
          <w:rStyle w:val="50"/>
          <w:rFonts w:hint="eastAsia" w:ascii="宋体" w:hAnsi="宋体" w:eastAsia="宋体" w:cs="宋体"/>
          <w:sz w:val="24"/>
          <w:szCs w:val="24"/>
        </w:rPr>
        <w:t>@NonNull</w:t>
      </w:r>
      <w:r>
        <w:rPr>
          <w:rFonts w:hint="eastAsia" w:ascii="宋体" w:hAnsi="宋体" w:eastAsia="宋体" w:cs="宋体"/>
          <w:sz w:val="24"/>
          <w:szCs w:val="24"/>
        </w:rPr>
        <w:t>），并利用Lint工具进行静态检查。在长期规划中，可考虑向Kotlin渐进式迁移。</w:t>
      </w:r>
    </w:p>
    <w:bookmarkEnd w:id="76"/>
    <w:p w14:paraId="767AB28F">
      <w:pPr>
        <w:pStyle w:val="6"/>
        <w:rPr>
          <w:rFonts w:hint="eastAsia" w:ascii="宋体" w:hAnsi="宋体" w:eastAsia="宋体" w:cs="宋体"/>
          <w:sz w:val="24"/>
          <w:szCs w:val="24"/>
        </w:rPr>
      </w:pPr>
      <w:bookmarkStart w:id="77" w:name="网络层retrofit-+-okhttp"/>
      <w:r>
        <w:rPr>
          <w:rFonts w:hint="eastAsia" w:ascii="宋体" w:hAnsi="宋体" w:eastAsia="宋体" w:cs="宋体"/>
          <w:sz w:val="24"/>
          <w:szCs w:val="24"/>
        </w:rPr>
        <w:t>网络层：Retrofit + OkHttp</w:t>
      </w:r>
    </w:p>
    <w:p w14:paraId="5CDB7736">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：行业标准，提供类型安全、声明式的API定义，极大提升网络层开发效率和可维护性。</w:t>
      </w:r>
    </w:p>
    <w:p w14:paraId="196157BE">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621FAFE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高效简洁</w:t>
      </w:r>
      <w:r>
        <w:rPr>
          <w:rFonts w:hint="eastAsia" w:ascii="宋体" w:hAnsi="宋体" w:eastAsia="宋体" w:cs="宋体"/>
          <w:sz w:val="24"/>
          <w:szCs w:val="24"/>
        </w:rPr>
        <w:t>：通过注解配置API，自动生成实现代码。</w:t>
      </w:r>
    </w:p>
    <w:p w14:paraId="305DD89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灵活强大</w:t>
      </w:r>
      <w:r>
        <w:rPr>
          <w:rFonts w:hint="eastAsia" w:ascii="宋体" w:hAnsi="宋体" w:eastAsia="宋体" w:cs="宋体"/>
          <w:sz w:val="24"/>
          <w:szCs w:val="24"/>
        </w:rPr>
        <w:t>：通过OkHttp拦截器可统一处理认证、日志、缓存和重试逻辑。</w:t>
      </w:r>
    </w:p>
    <w:p w14:paraId="6A39326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与异步框架友好</w:t>
      </w:r>
      <w:r>
        <w:rPr>
          <w:rFonts w:hint="eastAsia" w:ascii="宋体" w:hAnsi="宋体" w:eastAsia="宋体" w:cs="宋体"/>
          <w:sz w:val="24"/>
          <w:szCs w:val="24"/>
        </w:rPr>
        <w:t>：可轻松适配RxJava或协程，处理线程切换。</w:t>
      </w:r>
    </w:p>
    <w:p w14:paraId="795B37EE">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6F079D0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接口定义集中</w:t>
      </w:r>
      <w:r>
        <w:rPr>
          <w:rFonts w:hint="eastAsia" w:ascii="宋体" w:hAnsi="宋体" w:eastAsia="宋体" w:cs="宋体"/>
          <w:sz w:val="24"/>
          <w:szCs w:val="24"/>
        </w:rPr>
        <w:t>：所有API接口集中管理，在超大型项目中可能变得臃肿（可通过模块化解决）。</w:t>
      </w:r>
    </w:p>
    <w:p w14:paraId="59D90BDC">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60B2370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：多风控数据源（如征信、反欺诈、行为分析）的统一管理和错误处理。</w:t>
      </w:r>
    </w:p>
    <w:p w14:paraId="261D900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：利用拦截器实现全局的请求签名、Token管理和错误码统一转换。为不同数据源创建不同的Retrofit实例，实现隔离与灵活配置。</w:t>
      </w:r>
    </w:p>
    <w:bookmarkEnd w:id="77"/>
    <w:p w14:paraId="435BA79B">
      <w:pPr>
        <w:pStyle w:val="6"/>
        <w:rPr>
          <w:rFonts w:hint="eastAsia" w:ascii="宋体" w:hAnsi="宋体" w:eastAsia="宋体" w:cs="宋体"/>
          <w:sz w:val="24"/>
          <w:szCs w:val="24"/>
        </w:rPr>
      </w:pPr>
      <w:bookmarkStart w:id="78" w:name="本地数据room"/>
      <w:r>
        <w:rPr>
          <w:rFonts w:hint="eastAsia" w:ascii="宋体" w:hAnsi="宋体" w:eastAsia="宋体" w:cs="宋体"/>
          <w:sz w:val="24"/>
          <w:szCs w:val="24"/>
        </w:rPr>
        <w:t>本地数据：Room</w:t>
      </w:r>
    </w:p>
    <w:p w14:paraId="60275C03">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：Android Jetpack官方组件，为SQLite提供抽象层，保证类型安全和高性能。</w:t>
      </w:r>
    </w:p>
    <w:p w14:paraId="229F031F">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163F603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编译时校验</w:t>
      </w:r>
      <w:r>
        <w:rPr>
          <w:rFonts w:hint="eastAsia" w:ascii="宋体" w:hAnsi="宋体" w:eastAsia="宋体" w:cs="宋体"/>
          <w:sz w:val="24"/>
          <w:szCs w:val="24"/>
        </w:rPr>
        <w:t>：SQL查询在编译时即被验证，杜绝运行时错误。</w:t>
      </w:r>
    </w:p>
    <w:p w14:paraId="66B549B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与架构组件无缝集成</w:t>
      </w:r>
      <w:r>
        <w:rPr>
          <w:rFonts w:hint="eastAsia" w:ascii="宋体" w:hAnsi="宋体" w:eastAsia="宋体" w:cs="宋体"/>
          <w:sz w:val="24"/>
          <w:szCs w:val="24"/>
        </w:rPr>
        <w:t>：查询结果可轻松暴露为</w:t>
      </w:r>
      <w:r>
        <w:rPr>
          <w:rStyle w:val="50"/>
          <w:rFonts w:hint="eastAsia" w:ascii="宋体" w:hAnsi="宋体" w:eastAsia="宋体" w:cs="宋体"/>
          <w:sz w:val="24"/>
          <w:szCs w:val="24"/>
        </w:rPr>
        <w:t>LiveData</w:t>
      </w:r>
      <w:r>
        <w:rPr>
          <w:rFonts w:hint="eastAsia" w:ascii="宋体" w:hAnsi="宋体" w:eastAsia="宋体" w:cs="宋体"/>
          <w:sz w:val="24"/>
          <w:szCs w:val="24"/>
        </w:rPr>
        <w:t>，实现数据驱动UI。</w:t>
      </w:r>
    </w:p>
    <w:p w14:paraId="604C923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减少模板代码</w:t>
      </w:r>
      <w:r>
        <w:rPr>
          <w:rFonts w:hint="eastAsia" w:ascii="宋体" w:hAnsi="宋体" w:eastAsia="宋体" w:cs="宋体"/>
          <w:sz w:val="24"/>
          <w:szCs w:val="24"/>
        </w:rPr>
        <w:t>：免去手动处理</w:t>
      </w:r>
      <w:r>
        <w:rPr>
          <w:rStyle w:val="50"/>
          <w:rFonts w:hint="eastAsia" w:ascii="宋体" w:hAnsi="宋体" w:eastAsia="宋体" w:cs="宋体"/>
          <w:sz w:val="24"/>
          <w:szCs w:val="24"/>
        </w:rPr>
        <w:t>Cursor</w:t>
      </w:r>
      <w:r>
        <w:rPr>
          <w:rFonts w:hint="eastAsia" w:ascii="宋体" w:hAnsi="宋体" w:eastAsia="宋体" w:cs="宋体"/>
          <w:sz w:val="24"/>
          <w:szCs w:val="24"/>
        </w:rPr>
        <w:t>和</w:t>
      </w:r>
      <w:r>
        <w:rPr>
          <w:rStyle w:val="50"/>
          <w:rFonts w:hint="eastAsia" w:ascii="宋体" w:hAnsi="宋体" w:eastAsia="宋体" w:cs="宋体"/>
          <w:sz w:val="24"/>
          <w:szCs w:val="24"/>
        </w:rPr>
        <w:t>SQLiteOpenHelper</w:t>
      </w:r>
      <w:r>
        <w:rPr>
          <w:rFonts w:hint="eastAsia" w:ascii="宋体" w:hAnsi="宋体" w:eastAsia="宋体" w:cs="宋体"/>
          <w:sz w:val="24"/>
          <w:szCs w:val="24"/>
        </w:rPr>
        <w:t>的繁琐。</w:t>
      </w:r>
    </w:p>
    <w:p w14:paraId="26A12CE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5514452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学习曲线</w:t>
      </w:r>
      <w:r>
        <w:rPr>
          <w:rFonts w:hint="eastAsia" w:ascii="宋体" w:hAnsi="宋体" w:eastAsia="宋体" w:cs="宋体"/>
          <w:sz w:val="24"/>
          <w:szCs w:val="24"/>
        </w:rPr>
        <w:t>：需要理解</w:t>
      </w:r>
      <w:r>
        <w:rPr>
          <w:rStyle w:val="50"/>
          <w:rFonts w:hint="eastAsia" w:ascii="宋体" w:hAnsi="宋体" w:eastAsia="宋体" w:cs="宋体"/>
          <w:sz w:val="24"/>
          <w:szCs w:val="24"/>
        </w:rPr>
        <w:t>Entity</w:t>
      </w:r>
      <w:r>
        <w:rPr>
          <w:rFonts w:hint="eastAsia" w:ascii="宋体" w:hAnsi="宋体" w:eastAsia="宋体" w:cs="宋体"/>
          <w:sz w:val="24"/>
          <w:szCs w:val="24"/>
        </w:rPr>
        <w:t xml:space="preserve">, </w:t>
      </w:r>
      <w:r>
        <w:rPr>
          <w:rStyle w:val="50"/>
          <w:rFonts w:hint="eastAsia" w:ascii="宋体" w:hAnsi="宋体" w:eastAsia="宋体" w:cs="宋体"/>
          <w:sz w:val="24"/>
          <w:szCs w:val="24"/>
        </w:rPr>
        <w:t>DAO</w:t>
      </w:r>
      <w:r>
        <w:rPr>
          <w:rFonts w:hint="eastAsia" w:ascii="宋体" w:hAnsi="宋体" w:eastAsia="宋体" w:cs="宋体"/>
          <w:sz w:val="24"/>
          <w:szCs w:val="24"/>
        </w:rPr>
        <w:t xml:space="preserve">, </w:t>
      </w:r>
      <w:r>
        <w:rPr>
          <w:rStyle w:val="50"/>
          <w:rFonts w:hint="eastAsia" w:ascii="宋体" w:hAnsi="宋体" w:eastAsia="宋体" w:cs="宋体"/>
          <w:sz w:val="24"/>
          <w:szCs w:val="24"/>
        </w:rPr>
        <w:t>Database</w:t>
      </w:r>
      <w:r>
        <w:rPr>
          <w:rFonts w:hint="eastAsia" w:ascii="宋体" w:hAnsi="宋体" w:eastAsia="宋体" w:cs="宋体"/>
          <w:sz w:val="24"/>
          <w:szCs w:val="24"/>
        </w:rPr>
        <w:t>三个核心概念及其关系。</w:t>
      </w:r>
    </w:p>
    <w:p w14:paraId="2F49D26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2982A451">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：敏感用户数据和风控规则的本地安全存储。</w:t>
      </w:r>
    </w:p>
    <w:p w14:paraId="64389401">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：集成</w:t>
      </w:r>
      <w:r>
        <w:rPr>
          <w:rFonts w:hint="eastAsia" w:ascii="宋体" w:hAnsi="宋体" w:eastAsia="宋体" w:cs="宋体"/>
          <w:b/>
          <w:bCs/>
          <w:sz w:val="24"/>
          <w:szCs w:val="24"/>
        </w:rPr>
        <w:t>SQLCipher</w:t>
      </w:r>
      <w:r>
        <w:rPr>
          <w:rFonts w:hint="eastAsia" w:ascii="宋体" w:hAnsi="宋体" w:eastAsia="宋体" w:cs="宋体"/>
          <w:sz w:val="24"/>
          <w:szCs w:val="24"/>
        </w:rPr>
        <w:t>等加密库对数据库文件进行加密。结合Android Keystore系统管理加密密钥。</w:t>
      </w:r>
    </w:p>
    <w:bookmarkEnd w:id="78"/>
    <w:p w14:paraId="37C7F4B3">
      <w:pPr>
        <w:pStyle w:val="6"/>
        <w:rPr>
          <w:rFonts w:hint="eastAsia" w:ascii="宋体" w:hAnsi="宋体" w:eastAsia="宋体" w:cs="宋体"/>
          <w:sz w:val="24"/>
          <w:szCs w:val="24"/>
        </w:rPr>
      </w:pPr>
      <w:bookmarkStart w:id="79" w:name="状态管理viewmodel-+-livedata"/>
      <w:r>
        <w:rPr>
          <w:rFonts w:hint="eastAsia" w:ascii="宋体" w:hAnsi="宋体" w:eastAsia="宋体" w:cs="宋体"/>
          <w:sz w:val="24"/>
          <w:szCs w:val="24"/>
        </w:rPr>
        <w:t>状态管理：ViewModel + LiveData</w:t>
      </w:r>
    </w:p>
    <w:p w14:paraId="100B2A70">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：Android官方推荐的架构组件，专为UI状态管理设计，具备生命周期感知能力。</w:t>
      </w:r>
    </w:p>
    <w:p w14:paraId="31162A70">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221E287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生命周期安全</w:t>
      </w:r>
      <w:r>
        <w:rPr>
          <w:rFonts w:hint="eastAsia" w:ascii="宋体" w:hAnsi="宋体" w:eastAsia="宋体" w:cs="宋体"/>
          <w:sz w:val="24"/>
          <w:szCs w:val="24"/>
        </w:rPr>
        <w:t>：避免因屏幕旋转等配置变更导致数据丢失，以及内存泄漏。</w:t>
      </w:r>
    </w:p>
    <w:p w14:paraId="5242371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数据与UI解耦</w:t>
      </w:r>
      <w:r>
        <w:rPr>
          <w:rFonts w:hint="eastAsia" w:ascii="宋体" w:hAnsi="宋体" w:eastAsia="宋体" w:cs="宋体"/>
          <w:sz w:val="24"/>
          <w:szCs w:val="24"/>
        </w:rPr>
        <w:t>：UI（Activity/Fragment）仅负责显示，业务逻辑和数据保存在ViewModel中。</w:t>
      </w:r>
    </w:p>
    <w:p w14:paraId="1496425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测试友好</w:t>
      </w:r>
      <w:r>
        <w:rPr>
          <w:rFonts w:hint="eastAsia" w:ascii="宋体" w:hAnsi="宋体" w:eastAsia="宋体" w:cs="宋体"/>
          <w:sz w:val="24"/>
          <w:szCs w:val="24"/>
        </w:rPr>
        <w:t>：ViewModel可独立于UI进行单元测试。</w:t>
      </w:r>
    </w:p>
    <w:p w14:paraId="6A791C84">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07340B7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数据流处理能力有限</w:t>
      </w:r>
      <w:r>
        <w:rPr>
          <w:rFonts w:hint="eastAsia" w:ascii="宋体" w:hAnsi="宋体" w:eastAsia="宋体" w:cs="宋体"/>
          <w:sz w:val="24"/>
          <w:szCs w:val="24"/>
        </w:rPr>
        <w:t>：</w:t>
      </w:r>
      <w:r>
        <w:rPr>
          <w:rStyle w:val="50"/>
          <w:rFonts w:hint="eastAsia" w:ascii="宋体" w:hAnsi="宋体" w:eastAsia="宋体" w:cs="宋体"/>
          <w:sz w:val="24"/>
          <w:szCs w:val="24"/>
        </w:rPr>
        <w:t>LiveData</w:t>
      </w:r>
      <w:r>
        <w:rPr>
          <w:rFonts w:hint="eastAsia" w:ascii="宋体" w:hAnsi="宋体" w:eastAsia="宋体" w:cs="宋体"/>
          <w:sz w:val="24"/>
          <w:szCs w:val="24"/>
        </w:rPr>
        <w:t>功能相对简单，对于复杂的响应式数据变换、组合（如合并多个数据源）显得力不从心。</w:t>
      </w:r>
    </w:p>
    <w:p w14:paraId="038705DC">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764D4C2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：管理风控申请多步骤表单的复杂状态，以及来自多个数据源（网络、数据库）的异步状态同步。</w:t>
      </w:r>
    </w:p>
    <w:p w14:paraId="151756D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在ViewModel内使用</w:t>
      </w:r>
      <w:r>
        <w:rPr>
          <w:rFonts w:hint="eastAsia" w:ascii="宋体" w:hAnsi="宋体" w:eastAsia="宋体" w:cs="宋体"/>
          <w:b/>
          <w:bCs/>
          <w:sz w:val="24"/>
          <w:szCs w:val="24"/>
        </w:rPr>
        <w:t>状态封装</w:t>
      </w:r>
      <w:r>
        <w:rPr>
          <w:rFonts w:hint="eastAsia" w:ascii="宋体" w:hAnsi="宋体" w:eastAsia="宋体" w:cs="宋体"/>
          <w:sz w:val="24"/>
          <w:szCs w:val="24"/>
        </w:rPr>
        <w:t>，定义一个包含所有UI状态的</w:t>
      </w:r>
      <w:r>
        <w:rPr>
          <w:rStyle w:val="50"/>
          <w:rFonts w:hint="eastAsia" w:ascii="宋体" w:hAnsi="宋体" w:eastAsia="宋体" w:cs="宋体"/>
          <w:sz w:val="24"/>
          <w:szCs w:val="24"/>
        </w:rPr>
        <w:t>Data Class</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对于简单场景，</w:t>
      </w:r>
      <w:r>
        <w:rPr>
          <w:rStyle w:val="50"/>
          <w:rFonts w:hint="eastAsia" w:ascii="宋体" w:hAnsi="宋体" w:eastAsia="宋体" w:cs="宋体"/>
          <w:sz w:val="24"/>
          <w:szCs w:val="24"/>
        </w:rPr>
        <w:t>LiveData</w:t>
      </w:r>
      <w:r>
        <w:rPr>
          <w:rFonts w:hint="eastAsia" w:ascii="宋体" w:hAnsi="宋体" w:eastAsia="宋体" w:cs="宋体"/>
          <w:sz w:val="24"/>
          <w:szCs w:val="24"/>
        </w:rPr>
        <w:t>足够；若业务极其复杂，可考虑引入</w:t>
      </w:r>
      <w:r>
        <w:rPr>
          <w:rFonts w:hint="eastAsia" w:ascii="宋体" w:hAnsi="宋体" w:eastAsia="宋体" w:cs="宋体"/>
          <w:b/>
          <w:bCs/>
          <w:sz w:val="24"/>
          <w:szCs w:val="24"/>
        </w:rPr>
        <w:t>Kotlin Flow</w:t>
      </w:r>
      <w:r>
        <w:rPr>
          <w:rFonts w:hint="eastAsia" w:ascii="宋体" w:hAnsi="宋体" w:eastAsia="宋体" w:cs="宋体"/>
          <w:sz w:val="24"/>
          <w:szCs w:val="24"/>
        </w:rPr>
        <w:t>（即使主语言是Java，ViewModel层也可用Kotlin编写）来替代</w:t>
      </w:r>
      <w:r>
        <w:rPr>
          <w:rStyle w:val="50"/>
          <w:rFonts w:hint="eastAsia" w:ascii="宋体" w:hAnsi="宋体" w:eastAsia="宋体" w:cs="宋体"/>
          <w:sz w:val="24"/>
          <w:szCs w:val="24"/>
        </w:rPr>
        <w:t>LiveData</w:t>
      </w:r>
      <w:r>
        <w:rPr>
          <w:rFonts w:hint="eastAsia" w:ascii="宋体" w:hAnsi="宋体" w:eastAsia="宋体" w:cs="宋体"/>
          <w:sz w:val="24"/>
          <w:szCs w:val="24"/>
        </w:rPr>
        <w:t>，以获得更强大的流处理能力。</w:t>
      </w:r>
    </w:p>
    <w:bookmarkEnd w:id="79"/>
    <w:p w14:paraId="27B2AC21">
      <w:pPr>
        <w:pStyle w:val="6"/>
        <w:rPr>
          <w:rFonts w:hint="eastAsia" w:ascii="宋体" w:hAnsi="宋体" w:eastAsia="宋体" w:cs="宋体"/>
          <w:sz w:val="24"/>
          <w:szCs w:val="24"/>
        </w:rPr>
      </w:pPr>
      <w:bookmarkStart w:id="80" w:name="图片加载glide"/>
      <w:r>
        <w:rPr>
          <w:rFonts w:hint="eastAsia" w:ascii="宋体" w:hAnsi="宋体" w:eastAsia="宋体" w:cs="宋体"/>
          <w:sz w:val="24"/>
          <w:szCs w:val="24"/>
        </w:rPr>
        <w:t>图片加载：Glide</w:t>
      </w:r>
    </w:p>
    <w:p w14:paraId="14CC7C83">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：功能全面、性能优化极致、社区活跃的图片加载库。</w:t>
      </w:r>
    </w:p>
    <w:p w14:paraId="02B3D476">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4348FC3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生命周期感知</w:t>
      </w:r>
      <w:r>
        <w:rPr>
          <w:rFonts w:hint="eastAsia" w:ascii="宋体" w:hAnsi="宋体" w:eastAsia="宋体" w:cs="宋体"/>
          <w:sz w:val="24"/>
          <w:szCs w:val="24"/>
        </w:rPr>
        <w:t>：自动管理请求生命周期，防止内存泄漏。</w:t>
      </w:r>
    </w:p>
    <w:p w14:paraId="5BF9C2F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内存与CPU优化</w:t>
      </w:r>
      <w:r>
        <w:rPr>
          <w:rFonts w:hint="eastAsia" w:ascii="宋体" w:hAnsi="宋体" w:eastAsia="宋体" w:cs="宋体"/>
          <w:sz w:val="24"/>
          <w:szCs w:val="24"/>
        </w:rPr>
        <w:t>：智能的缓存和图片采样策略，有效避免OOM。</w:t>
      </w:r>
    </w:p>
    <w:p w14:paraId="0AF18E2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易用性高</w:t>
      </w:r>
      <w:r>
        <w:rPr>
          <w:rFonts w:hint="eastAsia" w:ascii="宋体" w:hAnsi="宋体" w:eastAsia="宋体" w:cs="宋体"/>
          <w:sz w:val="24"/>
          <w:szCs w:val="24"/>
        </w:rPr>
        <w:t>：链式调用，一行代码完成大多数加载需求。</w:t>
      </w:r>
    </w:p>
    <w:p w14:paraId="57A41449">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7BA3160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包体积</w:t>
      </w:r>
      <w:r>
        <w:rPr>
          <w:rFonts w:hint="eastAsia" w:ascii="宋体" w:hAnsi="宋体" w:eastAsia="宋体" w:cs="宋体"/>
          <w:sz w:val="24"/>
          <w:szCs w:val="24"/>
        </w:rPr>
        <w:t>：会略微增加APK大小，但带来的稳定性和效率提升是值得的。</w:t>
      </w:r>
    </w:p>
    <w:p w14:paraId="6C6655A2">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30E6EAF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：加载用户上传的身份证、人脸识别等大图或敏感图片。</w:t>
      </w:r>
    </w:p>
    <w:p w14:paraId="4A364B9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：配置Glide的磁盘缓存策略，并对敏感图片在加载后于内存中进行清理。可考虑对图片进行加密存储，加载时解密。</w:t>
      </w:r>
    </w:p>
    <w:bookmarkEnd w:id="75"/>
    <w:bookmarkEnd w:id="80"/>
    <w:p w14:paraId="7A57C7FC">
      <w:pPr>
        <w:pStyle w:val="5"/>
        <w:rPr>
          <w:rFonts w:hint="eastAsia" w:ascii="宋体" w:hAnsi="宋体" w:eastAsia="宋体" w:cs="宋体"/>
          <w:sz w:val="24"/>
          <w:szCs w:val="24"/>
        </w:rPr>
      </w:pPr>
      <w:bookmarkStart w:id="81" w:name="web端"/>
      <w:r>
        <w:rPr>
          <w:rFonts w:hint="eastAsia" w:ascii="宋体" w:hAnsi="宋体" w:eastAsia="宋体" w:cs="宋体"/>
          <w:sz w:val="24"/>
          <w:szCs w:val="24"/>
        </w:rPr>
        <w:t>web端</w:t>
      </w:r>
    </w:p>
    <w:p w14:paraId="3C87F9C2">
      <w:pPr>
        <w:pStyle w:val="6"/>
        <w:rPr>
          <w:rFonts w:hint="eastAsia" w:ascii="宋体" w:hAnsi="宋体" w:eastAsia="宋体" w:cs="宋体"/>
          <w:sz w:val="24"/>
          <w:szCs w:val="24"/>
        </w:rPr>
      </w:pPr>
      <w:bookmarkStart w:id="82" w:name="核心框架vue-3-+-javascript"/>
      <w:r>
        <w:rPr>
          <w:rFonts w:hint="eastAsia" w:ascii="宋体" w:hAnsi="宋体" w:eastAsia="宋体" w:cs="宋体"/>
          <w:sz w:val="24"/>
          <w:szCs w:val="24"/>
        </w:rPr>
        <w:t>核心框架：Vue 3 + JavaScript</w:t>
      </w:r>
    </w:p>
    <w:p w14:paraId="31E413FA">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：Vue 3是当前主流版本，直接使用JavaScript而非TypeScript，大幅降低学习门槛和初期开发难度。</w:t>
      </w:r>
    </w:p>
    <w:p w14:paraId="70C32F94">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3632B41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学习成本低</w:t>
      </w:r>
      <w:r>
        <w:rPr>
          <w:rFonts w:hint="eastAsia" w:ascii="宋体" w:hAnsi="宋体" w:eastAsia="宋体" w:cs="宋体"/>
          <w:sz w:val="24"/>
          <w:szCs w:val="24"/>
        </w:rPr>
        <w:t>：团队无需学习TypeScript的复杂类型系统，可以快速上手开发。</w:t>
      </w:r>
    </w:p>
    <w:p w14:paraId="10A848F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开发速度快</w:t>
      </w:r>
      <w:r>
        <w:rPr>
          <w:rFonts w:hint="eastAsia" w:ascii="宋体" w:hAnsi="宋体" w:eastAsia="宋体" w:cs="宋体"/>
          <w:sz w:val="24"/>
          <w:szCs w:val="24"/>
        </w:rPr>
        <w:t>：省略了类型定义环节，对于快速迭代和原型开发非常友好。</w:t>
      </w:r>
    </w:p>
    <w:p w14:paraId="5E432BE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灵活性高</w:t>
      </w:r>
      <w:r>
        <w:rPr>
          <w:rFonts w:hint="eastAsia" w:ascii="宋体" w:hAnsi="宋体" w:eastAsia="宋体" w:cs="宋体"/>
          <w:sz w:val="24"/>
          <w:szCs w:val="24"/>
        </w:rPr>
        <w:t>：在业务逻辑复杂且变化快的场景下，不受类型约束。</w:t>
      </w:r>
    </w:p>
    <w:p w14:paraId="1B7D7C6C">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53FAF8C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维护性相对较弱</w:t>
      </w:r>
      <w:r>
        <w:rPr>
          <w:rFonts w:hint="eastAsia" w:ascii="宋体" w:hAnsi="宋体" w:eastAsia="宋体" w:cs="宋体"/>
          <w:sz w:val="24"/>
          <w:szCs w:val="24"/>
        </w:rPr>
        <w:t>：项目规模扩大后，缺乏类型提示和约束，代码可维护性会下降。</w:t>
      </w:r>
    </w:p>
    <w:p w14:paraId="03918B1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调试难度</w:t>
      </w:r>
      <w:r>
        <w:rPr>
          <w:rFonts w:hint="eastAsia" w:ascii="宋体" w:hAnsi="宋体" w:eastAsia="宋体" w:cs="宋体"/>
          <w:sz w:val="24"/>
          <w:szCs w:val="24"/>
        </w:rPr>
        <w:t>：运行时错误可能更多，且不易在开发阶段提前发现。</w:t>
      </w:r>
      <w:r>
        <w:rPr>
          <w:rFonts w:hint="eastAsia" w:ascii="宋体" w:hAnsi="宋体" w:eastAsia="宋体" w:cs="宋体"/>
          <w:sz w:val="24"/>
          <w:szCs w:val="24"/>
        </w:rPr>
        <w:br w:type="textWrapping"/>
      </w:r>
      <w:r>
        <w:rPr>
          <w:rFonts w:hint="eastAsia" w:ascii="宋体" w:hAnsi="宋体" w:eastAsia="宋体" w:cs="宋体"/>
          <w:b/>
          <w:bCs/>
          <w:sz w:val="24"/>
          <w:szCs w:val="24"/>
        </w:rPr>
        <w:t>挑战与解决</w:t>
      </w:r>
      <w:r>
        <w:rPr>
          <w:rFonts w:hint="eastAsia" w:ascii="宋体" w:hAnsi="宋体" w:eastAsia="宋体" w:cs="宋体"/>
          <w:sz w:val="24"/>
          <w:szCs w:val="24"/>
        </w:rPr>
        <w:t>：</w:t>
      </w:r>
    </w:p>
    <w:p w14:paraId="51B1A0C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：如何在无类型约束下保证大型项目的代码质量。</w:t>
      </w:r>
    </w:p>
    <w:p w14:paraId="033FE13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w:t>
      </w:r>
    </w:p>
    <w:p w14:paraId="2E4ED52C">
      <w:pPr>
        <w:numPr>
          <w:ilvl w:val="2"/>
          <w:numId w:val="6"/>
        </w:numPr>
        <w:rPr>
          <w:rFonts w:hint="eastAsia" w:ascii="宋体" w:hAnsi="宋体" w:eastAsia="宋体" w:cs="宋体"/>
          <w:sz w:val="24"/>
          <w:szCs w:val="24"/>
        </w:rPr>
      </w:pPr>
      <w:r>
        <w:rPr>
          <w:rFonts w:hint="eastAsia" w:ascii="宋体" w:hAnsi="宋体" w:eastAsia="宋体" w:cs="宋体"/>
          <w:sz w:val="24"/>
          <w:szCs w:val="24"/>
        </w:rPr>
        <w:t xml:space="preserve">采用 </w:t>
      </w:r>
      <w:r>
        <w:rPr>
          <w:rFonts w:hint="eastAsia" w:ascii="宋体" w:hAnsi="宋体" w:eastAsia="宋体" w:cs="宋体"/>
          <w:b/>
          <w:bCs/>
          <w:sz w:val="24"/>
          <w:szCs w:val="24"/>
        </w:rPr>
        <w:t>JSDoc</w:t>
      </w:r>
      <w:r>
        <w:rPr>
          <w:rFonts w:hint="eastAsia" w:ascii="宋体" w:hAnsi="宋体" w:eastAsia="宋体" w:cs="宋体"/>
          <w:sz w:val="24"/>
          <w:szCs w:val="24"/>
        </w:rPr>
        <w:t xml:space="preserve"> 对关键函数和变量进行注释，提供基本的类型提示。</w:t>
      </w:r>
    </w:p>
    <w:p w14:paraId="084A0D28">
      <w:pPr>
        <w:numPr>
          <w:ilvl w:val="2"/>
          <w:numId w:val="6"/>
        </w:numPr>
        <w:rPr>
          <w:rFonts w:hint="eastAsia" w:ascii="宋体" w:hAnsi="宋体" w:eastAsia="宋体" w:cs="宋体"/>
          <w:sz w:val="24"/>
          <w:szCs w:val="24"/>
        </w:rPr>
      </w:pPr>
      <w:r>
        <w:rPr>
          <w:rFonts w:hint="eastAsia" w:ascii="宋体" w:hAnsi="宋体" w:eastAsia="宋体" w:cs="宋体"/>
          <w:sz w:val="24"/>
          <w:szCs w:val="24"/>
        </w:rPr>
        <w:t xml:space="preserve">配置 </w:t>
      </w:r>
      <w:r>
        <w:rPr>
          <w:rFonts w:hint="eastAsia" w:ascii="宋体" w:hAnsi="宋体" w:eastAsia="宋体" w:cs="宋体"/>
          <w:b/>
          <w:bCs/>
          <w:sz w:val="24"/>
          <w:szCs w:val="24"/>
        </w:rPr>
        <w:t>ESLint</w:t>
      </w:r>
      <w:r>
        <w:rPr>
          <w:rFonts w:hint="eastAsia" w:ascii="宋体" w:hAnsi="宋体" w:eastAsia="宋体" w:cs="宋体"/>
          <w:sz w:val="24"/>
          <w:szCs w:val="24"/>
        </w:rPr>
        <w:t xml:space="preserve"> 严格规则，统一代码风格，避免常见错误。</w:t>
      </w:r>
    </w:p>
    <w:p w14:paraId="1FD207C8">
      <w:pPr>
        <w:numPr>
          <w:ilvl w:val="2"/>
          <w:numId w:val="6"/>
        </w:numPr>
        <w:rPr>
          <w:rFonts w:hint="eastAsia" w:ascii="宋体" w:hAnsi="宋体" w:eastAsia="宋体" w:cs="宋体"/>
          <w:sz w:val="24"/>
          <w:szCs w:val="24"/>
        </w:rPr>
      </w:pPr>
      <w:r>
        <w:rPr>
          <w:rFonts w:hint="eastAsia" w:ascii="宋体" w:hAnsi="宋体" w:eastAsia="宋体" w:cs="宋体"/>
          <w:sz w:val="24"/>
          <w:szCs w:val="24"/>
        </w:rPr>
        <w:t>后期项目稳定后，可考虑渐进式迁移至TypeScript。</w:t>
      </w:r>
    </w:p>
    <w:bookmarkEnd w:id="82"/>
    <w:p w14:paraId="5D121976">
      <w:pPr>
        <w:pStyle w:val="6"/>
        <w:rPr>
          <w:rFonts w:hint="eastAsia" w:ascii="宋体" w:hAnsi="宋体" w:eastAsia="宋体" w:cs="宋体"/>
          <w:sz w:val="24"/>
          <w:szCs w:val="24"/>
        </w:rPr>
      </w:pPr>
      <w:bookmarkStart w:id="83" w:name="状态管理pinia"/>
      <w:r>
        <w:rPr>
          <w:rFonts w:hint="eastAsia" w:ascii="宋体" w:hAnsi="宋体" w:eastAsia="宋体" w:cs="宋体"/>
          <w:sz w:val="24"/>
          <w:szCs w:val="24"/>
        </w:rPr>
        <w:t>状态管理：Pinia</w:t>
      </w:r>
    </w:p>
    <w:p w14:paraId="6A5DFF06">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：它在Vue 3生态中是Vuex的官方替代品，且API比Vuex简单得多，更易学习和使用。</w:t>
      </w:r>
    </w:p>
    <w:p w14:paraId="2DFC840A">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4C4AD6D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概念简单</w:t>
      </w:r>
      <w:r>
        <w:rPr>
          <w:rFonts w:hint="eastAsia" w:ascii="宋体" w:hAnsi="宋体" w:eastAsia="宋体" w:cs="宋体"/>
          <w:sz w:val="24"/>
          <w:szCs w:val="24"/>
        </w:rPr>
        <w:t xml:space="preserve">：只有 </w:t>
      </w:r>
      <w:r>
        <w:rPr>
          <w:rStyle w:val="50"/>
          <w:rFonts w:hint="eastAsia" w:ascii="宋体" w:hAnsi="宋体" w:eastAsia="宋体" w:cs="宋体"/>
          <w:sz w:val="24"/>
          <w:szCs w:val="24"/>
        </w:rPr>
        <w:t>state</w:t>
      </w:r>
      <w:r>
        <w:rPr>
          <w:rFonts w:hint="eastAsia" w:ascii="宋体" w:hAnsi="宋体" w:eastAsia="宋体" w:cs="宋体"/>
          <w:sz w:val="24"/>
          <w:szCs w:val="24"/>
        </w:rPr>
        <w:t>、</w:t>
      </w:r>
      <w:r>
        <w:rPr>
          <w:rStyle w:val="50"/>
          <w:rFonts w:hint="eastAsia" w:ascii="宋体" w:hAnsi="宋体" w:eastAsia="宋体" w:cs="宋体"/>
          <w:sz w:val="24"/>
          <w:szCs w:val="24"/>
        </w:rPr>
        <w:t>getters</w:t>
      </w:r>
      <w:r>
        <w:rPr>
          <w:rFonts w:hint="eastAsia" w:ascii="宋体" w:hAnsi="宋体" w:eastAsia="宋体" w:cs="宋体"/>
          <w:sz w:val="24"/>
          <w:szCs w:val="24"/>
        </w:rPr>
        <w:t>、</w:t>
      </w:r>
      <w:r>
        <w:rPr>
          <w:rStyle w:val="50"/>
          <w:rFonts w:hint="eastAsia" w:ascii="宋体" w:hAnsi="宋体" w:eastAsia="宋体" w:cs="宋体"/>
          <w:sz w:val="24"/>
          <w:szCs w:val="24"/>
        </w:rPr>
        <w:t>actions</w:t>
      </w:r>
      <w:r>
        <w:rPr>
          <w:rFonts w:hint="eastAsia" w:ascii="宋体" w:hAnsi="宋体" w:eastAsia="宋体" w:cs="宋体"/>
          <w:sz w:val="24"/>
          <w:szCs w:val="24"/>
        </w:rPr>
        <w:t xml:space="preserve"> 三个核心概念，没有Vuex中繁琐的 </w:t>
      </w:r>
      <w:r>
        <w:rPr>
          <w:rStyle w:val="50"/>
          <w:rFonts w:hint="eastAsia" w:ascii="宋体" w:hAnsi="宋体" w:eastAsia="宋体" w:cs="宋体"/>
          <w:sz w:val="24"/>
          <w:szCs w:val="24"/>
        </w:rPr>
        <w:t>mutations</w:t>
      </w:r>
      <w:r>
        <w:rPr>
          <w:rFonts w:hint="eastAsia" w:ascii="宋体" w:hAnsi="宋体" w:eastAsia="宋体" w:cs="宋体"/>
          <w:sz w:val="24"/>
          <w:szCs w:val="24"/>
        </w:rPr>
        <w:t>。</w:t>
      </w:r>
    </w:p>
    <w:p w14:paraId="0184226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TypeScript支持可选</w:t>
      </w:r>
      <w:r>
        <w:rPr>
          <w:rFonts w:hint="eastAsia" w:ascii="宋体" w:hAnsi="宋体" w:eastAsia="宋体" w:cs="宋体"/>
          <w:sz w:val="24"/>
          <w:szCs w:val="24"/>
        </w:rPr>
        <w:t>：即使不用TS，其清晰的API也足够好用。</w:t>
      </w:r>
    </w:p>
    <w:p w14:paraId="42DE202F">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32F2D27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：确定何时需要使用状态管理，避免过度设计。</w:t>
      </w:r>
    </w:p>
    <w:p w14:paraId="6035ECC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：遵循一个简单原则——只有当状态需要在</w:t>
      </w:r>
      <w:r>
        <w:rPr>
          <w:rFonts w:hint="eastAsia" w:ascii="宋体" w:hAnsi="宋体" w:eastAsia="宋体" w:cs="宋体"/>
          <w:b/>
          <w:bCs/>
          <w:sz w:val="24"/>
          <w:szCs w:val="24"/>
        </w:rPr>
        <w:t>多个非父子组件</w:t>
      </w:r>
      <w:r>
        <w:rPr>
          <w:rFonts w:hint="eastAsia" w:ascii="宋体" w:hAnsi="宋体" w:eastAsia="宋体" w:cs="宋体"/>
          <w:sz w:val="24"/>
          <w:szCs w:val="24"/>
        </w:rPr>
        <w:t xml:space="preserve">间共享时，才放入Pinia。组件内部状态依然使用 </w:t>
      </w:r>
      <w:r>
        <w:rPr>
          <w:rStyle w:val="50"/>
          <w:rFonts w:hint="eastAsia" w:ascii="宋体" w:hAnsi="宋体" w:eastAsia="宋体" w:cs="宋体"/>
          <w:sz w:val="24"/>
          <w:szCs w:val="24"/>
        </w:rPr>
        <w:t>ref</w:t>
      </w:r>
      <w:r>
        <w:rPr>
          <w:rFonts w:hint="eastAsia" w:ascii="宋体" w:hAnsi="宋体" w:eastAsia="宋体" w:cs="宋体"/>
          <w:sz w:val="24"/>
          <w:szCs w:val="24"/>
        </w:rPr>
        <w:t xml:space="preserve"> 和 </w:t>
      </w:r>
      <w:r>
        <w:rPr>
          <w:rStyle w:val="50"/>
          <w:rFonts w:hint="eastAsia" w:ascii="宋体" w:hAnsi="宋体" w:eastAsia="宋体" w:cs="宋体"/>
          <w:sz w:val="24"/>
          <w:szCs w:val="24"/>
        </w:rPr>
        <w:t>reactive</w:t>
      </w:r>
      <w:r>
        <w:rPr>
          <w:rFonts w:hint="eastAsia" w:ascii="宋体" w:hAnsi="宋体" w:eastAsia="宋体" w:cs="宋体"/>
          <w:sz w:val="24"/>
          <w:szCs w:val="24"/>
        </w:rPr>
        <w:t>。</w:t>
      </w:r>
    </w:p>
    <w:bookmarkEnd w:id="83"/>
    <w:p w14:paraId="3E384928">
      <w:pPr>
        <w:pStyle w:val="6"/>
        <w:rPr>
          <w:rFonts w:hint="eastAsia" w:ascii="宋体" w:hAnsi="宋体" w:eastAsia="宋体" w:cs="宋体"/>
          <w:sz w:val="24"/>
          <w:szCs w:val="24"/>
        </w:rPr>
      </w:pPr>
      <w:bookmarkStart w:id="84" w:name="路由vue-router"/>
      <w:r>
        <w:rPr>
          <w:rFonts w:hint="eastAsia" w:ascii="宋体" w:hAnsi="宋体" w:eastAsia="宋体" w:cs="宋体"/>
          <w:sz w:val="24"/>
          <w:szCs w:val="24"/>
        </w:rPr>
        <w:t>路由：Vue Router</w:t>
      </w:r>
    </w:p>
    <w:p w14:paraId="02F785B9">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：Vue官方路由，与Vue核心深度集成，文档和社区资源最丰富，遇到问题容易找到解决方案。</w:t>
      </w:r>
    </w:p>
    <w:p w14:paraId="76463D26">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572CF7E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开箱即用</w:t>
      </w:r>
      <w:r>
        <w:rPr>
          <w:rFonts w:hint="eastAsia" w:ascii="宋体" w:hAnsi="宋体" w:eastAsia="宋体" w:cs="宋体"/>
          <w:sz w:val="24"/>
          <w:szCs w:val="24"/>
        </w:rPr>
        <w:t>：配置简单，基础功能无需额外学习。</w:t>
      </w:r>
    </w:p>
    <w:p w14:paraId="0F58563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导航守卫直观</w:t>
      </w:r>
      <w:r>
        <w:rPr>
          <w:rFonts w:hint="eastAsia" w:ascii="宋体" w:hAnsi="宋体" w:eastAsia="宋体" w:cs="宋体"/>
          <w:sz w:val="24"/>
          <w:szCs w:val="24"/>
        </w:rPr>
        <w:t xml:space="preserve">：通过 </w:t>
      </w:r>
      <w:r>
        <w:rPr>
          <w:rStyle w:val="50"/>
          <w:rFonts w:hint="eastAsia" w:ascii="宋体" w:hAnsi="宋体" w:eastAsia="宋体" w:cs="宋体"/>
          <w:sz w:val="24"/>
          <w:szCs w:val="24"/>
        </w:rPr>
        <w:t>beforeEach</w:t>
      </w:r>
      <w:r>
        <w:rPr>
          <w:rFonts w:hint="eastAsia" w:ascii="宋体" w:hAnsi="宋体" w:eastAsia="宋体" w:cs="宋体"/>
          <w:sz w:val="24"/>
          <w:szCs w:val="24"/>
        </w:rPr>
        <w:t xml:space="preserve"> 等函数实现权限控制，逻辑清晰。</w:t>
      </w:r>
    </w:p>
    <w:p w14:paraId="4B81E96F">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7F15B6F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：实现页面权限控制。</w:t>
      </w:r>
    </w:p>
    <w:p w14:paraId="6B7EA61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：在全局路由守卫中判断用户登录状态和权限，决定是跳转到目标页还是登录页。</w:t>
      </w:r>
    </w:p>
    <w:bookmarkEnd w:id="84"/>
    <w:p w14:paraId="42E4DD66">
      <w:pPr>
        <w:pStyle w:val="6"/>
        <w:rPr>
          <w:rFonts w:hint="eastAsia" w:ascii="宋体" w:hAnsi="宋体" w:eastAsia="宋体" w:cs="宋体"/>
          <w:sz w:val="24"/>
          <w:szCs w:val="24"/>
        </w:rPr>
      </w:pPr>
      <w:bookmarkStart w:id="85" w:name="请求库axios"/>
      <w:r>
        <w:rPr>
          <w:rFonts w:hint="eastAsia" w:ascii="宋体" w:hAnsi="宋体" w:eastAsia="宋体" w:cs="宋体"/>
          <w:sz w:val="24"/>
          <w:szCs w:val="24"/>
        </w:rPr>
        <w:t>请求库：Axios</w:t>
      </w:r>
    </w:p>
    <w:p w14:paraId="3814F5FD">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：目前最流行、最稳定的HTTP客户端，API简单直观，文档齐全。</w:t>
      </w:r>
    </w:p>
    <w:p w14:paraId="6C7F23EC">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3E7A2111">
      <w:pPr>
        <w:numPr>
          <w:ilvl w:val="1"/>
          <w:numId w:val="5"/>
        </w:numPr>
        <w:rPr>
          <w:rFonts w:hint="eastAsia" w:ascii="宋体" w:hAnsi="宋体" w:eastAsia="宋体" w:cs="宋体"/>
          <w:sz w:val="24"/>
          <w:szCs w:val="24"/>
        </w:rPr>
      </w:pPr>
      <w:r>
        <w:rPr>
          <w:rFonts w:hint="eastAsia" w:ascii="宋体" w:hAnsi="宋体" w:eastAsia="宋体" w:cs="宋体"/>
          <w:b/>
          <w:bCs/>
          <w:sz w:val="24"/>
          <w:szCs w:val="24"/>
        </w:rPr>
        <w:t>Promise-based</w:t>
      </w:r>
      <w:r>
        <w:rPr>
          <w:rFonts w:hint="eastAsia" w:ascii="宋体" w:hAnsi="宋体" w:eastAsia="宋体" w:cs="宋体"/>
          <w:sz w:val="24"/>
          <w:szCs w:val="24"/>
        </w:rPr>
        <w:t xml:space="preserve">：使用 </w:t>
      </w:r>
      <w:r>
        <w:rPr>
          <w:rStyle w:val="50"/>
          <w:rFonts w:hint="eastAsia" w:ascii="宋体" w:hAnsi="宋体" w:eastAsia="宋体" w:cs="宋体"/>
          <w:sz w:val="24"/>
          <w:szCs w:val="24"/>
        </w:rPr>
        <w:t>.then</w:t>
      </w:r>
      <w:r>
        <w:rPr>
          <w:rFonts w:hint="eastAsia" w:ascii="宋体" w:hAnsi="宋体" w:eastAsia="宋体" w:cs="宋体"/>
          <w:sz w:val="24"/>
          <w:szCs w:val="24"/>
        </w:rPr>
        <w:t xml:space="preserve"> 和 </w:t>
      </w:r>
      <w:r>
        <w:rPr>
          <w:rStyle w:val="50"/>
          <w:rFonts w:hint="eastAsia" w:ascii="宋体" w:hAnsi="宋体" w:eastAsia="宋体" w:cs="宋体"/>
          <w:sz w:val="24"/>
          <w:szCs w:val="24"/>
        </w:rPr>
        <w:t>.catch</w:t>
      </w:r>
      <w:r>
        <w:rPr>
          <w:rFonts w:hint="eastAsia" w:ascii="宋体" w:hAnsi="宋体" w:eastAsia="宋体" w:cs="宋体"/>
          <w:sz w:val="24"/>
          <w:szCs w:val="24"/>
        </w:rPr>
        <w:t xml:space="preserve"> 或 </w:t>
      </w:r>
      <w:r>
        <w:rPr>
          <w:rStyle w:val="50"/>
          <w:rFonts w:hint="eastAsia" w:ascii="宋体" w:hAnsi="宋体" w:eastAsia="宋体" w:cs="宋体"/>
          <w:sz w:val="24"/>
          <w:szCs w:val="24"/>
        </w:rPr>
        <w:t>async/await</w:t>
      </w:r>
      <w:r>
        <w:rPr>
          <w:rFonts w:hint="eastAsia" w:ascii="宋体" w:hAnsi="宋体" w:eastAsia="宋体" w:cs="宋体"/>
          <w:sz w:val="24"/>
          <w:szCs w:val="24"/>
        </w:rPr>
        <w:t xml:space="preserve"> 处理异步，符合现代编程习惯。</w:t>
      </w:r>
    </w:p>
    <w:p w14:paraId="10624AB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拦截器强大</w:t>
      </w:r>
      <w:r>
        <w:rPr>
          <w:rFonts w:hint="eastAsia" w:ascii="宋体" w:hAnsi="宋体" w:eastAsia="宋体" w:cs="宋体"/>
          <w:sz w:val="24"/>
          <w:szCs w:val="24"/>
        </w:rPr>
        <w:t>：可以统一处理添加Token、报错提示等，非常方便。</w:t>
      </w:r>
    </w:p>
    <w:p w14:paraId="64AF88BB">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需要简单的封装才能发挥最大效用。</w:t>
      </w:r>
    </w:p>
    <w:p w14:paraId="56D08DE4">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580C2EE2">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：统一处理错误和加载状态。</w:t>
      </w:r>
    </w:p>
    <w:p w14:paraId="6E408EB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 xml:space="preserve">：创建一个 </w:t>
      </w:r>
      <w:r>
        <w:rPr>
          <w:rStyle w:val="50"/>
          <w:rFonts w:hint="eastAsia" w:ascii="宋体" w:hAnsi="宋体" w:eastAsia="宋体" w:cs="宋体"/>
          <w:sz w:val="24"/>
          <w:szCs w:val="24"/>
        </w:rPr>
        <w:t>request.js</w:t>
      </w:r>
      <w:r>
        <w:rPr>
          <w:rFonts w:hint="eastAsia" w:ascii="宋体" w:hAnsi="宋体" w:eastAsia="宋体" w:cs="宋体"/>
          <w:sz w:val="24"/>
          <w:szCs w:val="24"/>
        </w:rPr>
        <w:t xml:space="preserve"> 文件，在里面创建Axios实例并配置拦截器。所有请求都通过这个实例发出，从而实现统一管理。</w:t>
      </w:r>
    </w:p>
    <w:bookmarkEnd w:id="85"/>
    <w:p w14:paraId="13E0A0FE">
      <w:pPr>
        <w:pStyle w:val="6"/>
        <w:rPr>
          <w:rFonts w:hint="eastAsia" w:ascii="宋体" w:hAnsi="宋体" w:eastAsia="宋体" w:cs="宋体"/>
          <w:sz w:val="24"/>
          <w:szCs w:val="24"/>
        </w:rPr>
      </w:pPr>
      <w:bookmarkStart w:id="86" w:name="构建工具vite"/>
      <w:r>
        <w:rPr>
          <w:rFonts w:hint="eastAsia" w:ascii="宋体" w:hAnsi="宋体" w:eastAsia="宋体" w:cs="宋体"/>
          <w:sz w:val="24"/>
          <w:szCs w:val="24"/>
        </w:rPr>
        <w:t>构建工具：Vite</w:t>
      </w:r>
    </w:p>
    <w:p w14:paraId="4B4CC382">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：Vue官方推荐的构建工具，相比传统的Webpack，启动速度和热更新速度极快，能极大提升开发幸福感。</w:t>
      </w:r>
    </w:p>
    <w:p w14:paraId="7DCEB5EC">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142157E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极速启动</w:t>
      </w:r>
      <w:r>
        <w:rPr>
          <w:rFonts w:hint="eastAsia" w:ascii="宋体" w:hAnsi="宋体" w:eastAsia="宋体" w:cs="宋体"/>
          <w:sz w:val="24"/>
          <w:szCs w:val="24"/>
        </w:rPr>
        <w:t>：秒级启动开发服务器。</w:t>
      </w:r>
    </w:p>
    <w:p w14:paraId="398DF85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配置简单</w:t>
      </w:r>
      <w:r>
        <w:rPr>
          <w:rFonts w:hint="eastAsia" w:ascii="宋体" w:hAnsi="宋体" w:eastAsia="宋体" w:cs="宋体"/>
          <w:sz w:val="24"/>
          <w:szCs w:val="24"/>
        </w:rPr>
        <w:t>：开箱即用，对Vue支持最好。</w:t>
      </w:r>
    </w:p>
    <w:p w14:paraId="6E1E0C8A">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生态插件的丰富度略低于Webpack，但对于大部分项目足够。</w:t>
      </w:r>
    </w:p>
    <w:p w14:paraId="44821018">
      <w:pPr>
        <w:numPr>
          <w:ilvl w:val="0"/>
          <w:numId w:val="5"/>
        </w:numPr>
        <w:rPr>
          <w:rFonts w:hint="eastAsia" w:ascii="宋体" w:hAnsi="宋体" w:eastAsia="宋体" w:cs="宋体"/>
          <w:sz w:val="24"/>
          <w:szCs w:val="24"/>
        </w:rPr>
      </w:pPr>
      <w:r>
        <w:rPr>
          <w:rFonts w:hint="eastAsia" w:ascii="宋体" w:hAnsi="宋体" w:eastAsia="宋体" w:cs="宋体"/>
          <w:b/>
          <w:bCs/>
          <w:sz w:val="24"/>
          <w:szCs w:val="24"/>
        </w:rPr>
        <w:t>挑战与解决</w:t>
      </w:r>
      <w:r>
        <w:rPr>
          <w:rFonts w:hint="eastAsia" w:ascii="宋体" w:hAnsi="宋体" w:eastAsia="宋体" w:cs="宋体"/>
          <w:sz w:val="24"/>
          <w:szCs w:val="24"/>
        </w:rPr>
        <w:t>：</w:t>
      </w:r>
    </w:p>
    <w:p w14:paraId="7D1AD81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：一些老旧库或特殊配置可能在Vite中需要适配。</w:t>
      </w:r>
    </w:p>
    <w:p w14:paraId="2E6D34A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：Vite社区活跃，大部分常见问题都能找到解决方案。其官方插件也覆盖了大部分Vue项目所需功能。</w:t>
      </w:r>
    </w:p>
    <w:bookmarkEnd w:id="73"/>
    <w:bookmarkEnd w:id="81"/>
    <w:bookmarkEnd w:id="86"/>
    <w:p w14:paraId="4B57C198">
      <w:pPr>
        <w:pStyle w:val="4"/>
        <w:rPr>
          <w:rFonts w:hint="eastAsia" w:ascii="宋体" w:hAnsi="宋体" w:eastAsia="宋体" w:cs="宋体"/>
          <w:sz w:val="24"/>
          <w:szCs w:val="24"/>
        </w:rPr>
      </w:pPr>
      <w:bookmarkStart w:id="87" w:name="ui"/>
      <w:r>
        <w:rPr>
          <w:rFonts w:hint="eastAsia" w:ascii="宋体" w:hAnsi="宋体" w:eastAsia="宋体" w:cs="宋体"/>
          <w:sz w:val="24"/>
          <w:szCs w:val="24"/>
        </w:rPr>
        <w:t>UI</w:t>
      </w:r>
    </w:p>
    <w:p w14:paraId="6D2EB85D">
      <w:pPr>
        <w:pStyle w:val="5"/>
        <w:rPr>
          <w:rFonts w:hint="eastAsia" w:ascii="宋体" w:hAnsi="宋体" w:eastAsia="宋体" w:cs="宋体"/>
          <w:sz w:val="24"/>
          <w:szCs w:val="24"/>
        </w:rPr>
      </w:pPr>
      <w:bookmarkStart w:id="88" w:name="android端-2"/>
      <w:r>
        <w:rPr>
          <w:rFonts w:hint="eastAsia" w:ascii="宋体" w:hAnsi="宋体" w:eastAsia="宋体" w:cs="宋体"/>
          <w:sz w:val="24"/>
          <w:szCs w:val="24"/>
        </w:rPr>
        <w:t>Android端</w:t>
      </w:r>
    </w:p>
    <w:p w14:paraId="5182BA2C">
      <w:pPr>
        <w:numPr>
          <w:ilvl w:val="0"/>
          <w:numId w:val="7"/>
        </w:numPr>
        <w:rPr>
          <w:rFonts w:hint="eastAsia" w:ascii="宋体" w:hAnsi="宋体" w:eastAsia="宋体" w:cs="宋体"/>
          <w:sz w:val="24"/>
          <w:szCs w:val="24"/>
        </w:rPr>
      </w:pPr>
      <w:r>
        <w:rPr>
          <w:rFonts w:hint="eastAsia" w:ascii="宋体" w:hAnsi="宋体" w:eastAsia="宋体" w:cs="宋体"/>
          <w:sz w:val="24"/>
          <w:szCs w:val="24"/>
        </w:rPr>
        <w:t>XML布局 + ViewBinding（UI构建方案）</w:t>
      </w:r>
    </w:p>
    <w:p w14:paraId="4D73BC42">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w:t>
      </w:r>
    </w:p>
    <w:p w14:paraId="5E45054D">
      <w:pPr>
        <w:numPr>
          <w:ilvl w:val="2"/>
          <w:numId w:val="5"/>
        </w:numPr>
        <w:rPr>
          <w:rFonts w:hint="eastAsia" w:ascii="宋体" w:hAnsi="宋体" w:eastAsia="宋体" w:cs="宋体"/>
          <w:sz w:val="24"/>
          <w:szCs w:val="24"/>
        </w:rPr>
      </w:pPr>
      <w:r>
        <w:rPr>
          <w:rFonts w:hint="eastAsia" w:ascii="宋体" w:hAnsi="宋体" w:eastAsia="宋体" w:cs="宋体"/>
          <w:b/>
          <w:bCs/>
          <w:sz w:val="24"/>
          <w:szCs w:val="24"/>
        </w:rPr>
        <w:t>Java生态深度契合</w:t>
      </w:r>
      <w:r>
        <w:rPr>
          <w:rFonts w:hint="eastAsia" w:ascii="宋体" w:hAnsi="宋体" w:eastAsia="宋体" w:cs="宋体"/>
          <w:sz w:val="24"/>
          <w:szCs w:val="24"/>
        </w:rPr>
        <w:t>：XML布局与Java代码完美配合，通过ViewBinding生成类型安全的视图引用，避免传统findViewById的类型转换风险，与Java语言特性高度匹配</w:t>
      </w:r>
    </w:p>
    <w:p w14:paraId="764A4AF0">
      <w:pPr>
        <w:numPr>
          <w:ilvl w:val="2"/>
          <w:numId w:val="5"/>
        </w:numPr>
        <w:rPr>
          <w:rFonts w:hint="eastAsia" w:ascii="宋体" w:hAnsi="宋体" w:eastAsia="宋体" w:cs="宋体"/>
          <w:sz w:val="24"/>
          <w:szCs w:val="24"/>
        </w:rPr>
      </w:pPr>
      <w:r>
        <w:rPr>
          <w:rFonts w:hint="eastAsia" w:ascii="宋体" w:hAnsi="宋体" w:eastAsia="宋体" w:cs="宋体"/>
          <w:b/>
          <w:bCs/>
          <w:sz w:val="24"/>
          <w:szCs w:val="24"/>
        </w:rPr>
        <w:t>Android Studio工具链优化</w:t>
      </w:r>
      <w:r>
        <w:rPr>
          <w:rFonts w:hint="eastAsia" w:ascii="宋体" w:hAnsi="宋体" w:eastAsia="宋体" w:cs="宋体"/>
          <w:sz w:val="24"/>
          <w:szCs w:val="24"/>
        </w:rPr>
        <w:t>：IDE对XML布局提供实时预览、可视化拖拽编辑和Lint检查，与Java编译链无缝集成，支持联合调试</w:t>
      </w:r>
    </w:p>
    <w:p w14:paraId="293BCAD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415D8D35">
      <w:pPr>
        <w:numPr>
          <w:ilvl w:val="2"/>
          <w:numId w:val="5"/>
        </w:numPr>
        <w:rPr>
          <w:rFonts w:hint="eastAsia" w:ascii="宋体" w:hAnsi="宋体" w:eastAsia="宋体" w:cs="宋体"/>
          <w:sz w:val="24"/>
          <w:szCs w:val="24"/>
        </w:rPr>
      </w:pPr>
      <w:r>
        <w:rPr>
          <w:rFonts w:hint="eastAsia" w:ascii="宋体" w:hAnsi="宋体" w:eastAsia="宋体" w:cs="宋体"/>
          <w:b/>
          <w:bCs/>
          <w:sz w:val="24"/>
          <w:szCs w:val="24"/>
        </w:rPr>
        <w:t>类型安全</w:t>
      </w:r>
      <w:r>
        <w:rPr>
          <w:rFonts w:hint="eastAsia" w:ascii="宋体" w:hAnsi="宋体" w:eastAsia="宋体" w:cs="宋体"/>
          <w:sz w:val="24"/>
          <w:szCs w:val="24"/>
        </w:rPr>
        <w:t>：ViewBinding生成与布局文件对应的Java类，直接通过属性访问视图，编译时检查错误</w:t>
      </w:r>
    </w:p>
    <w:p w14:paraId="77F47D96">
      <w:pPr>
        <w:numPr>
          <w:ilvl w:val="2"/>
          <w:numId w:val="5"/>
        </w:numPr>
        <w:rPr>
          <w:rFonts w:hint="eastAsia" w:ascii="宋体" w:hAnsi="宋体" w:eastAsia="宋体" w:cs="宋体"/>
          <w:sz w:val="24"/>
          <w:szCs w:val="24"/>
        </w:rPr>
      </w:pPr>
      <w:r>
        <w:rPr>
          <w:rFonts w:hint="eastAsia" w:ascii="宋体" w:hAnsi="宋体" w:eastAsia="宋体" w:cs="宋体"/>
          <w:b/>
          <w:bCs/>
          <w:sz w:val="24"/>
          <w:szCs w:val="24"/>
        </w:rPr>
        <w:t>稳定性</w:t>
      </w:r>
      <w:r>
        <w:rPr>
          <w:rFonts w:hint="eastAsia" w:ascii="宋体" w:hAnsi="宋体" w:eastAsia="宋体" w:cs="宋体"/>
          <w:sz w:val="24"/>
          <w:szCs w:val="24"/>
        </w:rPr>
        <w:t>:基于Android原生View系统，编译时直接转换为平台代码，在各类设备上渲染性能稳定可靠</w:t>
      </w:r>
    </w:p>
    <w:p w14:paraId="13459D42">
      <w:pPr>
        <w:numPr>
          <w:ilvl w:val="2"/>
          <w:numId w:val="5"/>
        </w:numPr>
        <w:rPr>
          <w:rFonts w:hint="eastAsia" w:ascii="宋体" w:hAnsi="宋体" w:eastAsia="宋体" w:cs="宋体"/>
          <w:sz w:val="24"/>
          <w:szCs w:val="24"/>
        </w:rPr>
      </w:pPr>
      <w:r>
        <w:rPr>
          <w:rFonts w:hint="eastAsia" w:ascii="宋体" w:hAnsi="宋体" w:eastAsia="宋体" w:cs="宋体"/>
          <w:b/>
          <w:bCs/>
          <w:sz w:val="24"/>
          <w:szCs w:val="24"/>
        </w:rPr>
        <w:t>开发效率</w:t>
      </w:r>
      <w:r>
        <w:rPr>
          <w:rFonts w:hint="eastAsia" w:ascii="宋体" w:hAnsi="宋体" w:eastAsia="宋体" w:cs="宋体"/>
          <w:sz w:val="24"/>
          <w:szCs w:val="24"/>
        </w:rPr>
        <w:t>：实时预览和可视化编辑减少UI调试时间，与Java代码协同调试便捷</w:t>
      </w:r>
    </w:p>
    <w:p w14:paraId="7A7D3A4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6C4532A2">
      <w:pPr>
        <w:numPr>
          <w:ilvl w:val="2"/>
          <w:numId w:val="5"/>
        </w:numPr>
        <w:rPr>
          <w:rFonts w:hint="eastAsia" w:ascii="宋体" w:hAnsi="宋体" w:eastAsia="宋体" w:cs="宋体"/>
          <w:sz w:val="24"/>
          <w:szCs w:val="24"/>
        </w:rPr>
      </w:pPr>
      <w:r>
        <w:rPr>
          <w:rFonts w:hint="eastAsia" w:ascii="宋体" w:hAnsi="宋体" w:eastAsia="宋体" w:cs="宋体"/>
          <w:b/>
          <w:bCs/>
          <w:sz w:val="24"/>
          <w:szCs w:val="24"/>
        </w:rPr>
        <w:t>模板代码较多</w:t>
      </w:r>
      <w:r>
        <w:rPr>
          <w:rFonts w:hint="eastAsia" w:ascii="宋体" w:hAnsi="宋体" w:eastAsia="宋体" w:cs="宋体"/>
          <w:sz w:val="24"/>
          <w:szCs w:val="24"/>
        </w:rPr>
        <w:t>：每个布局文件需生成对应的ViewBinding类，在大型项目中可能增加方法数</w:t>
      </w:r>
    </w:p>
    <w:p w14:paraId="41F5A310">
      <w:pPr>
        <w:numPr>
          <w:ilvl w:val="2"/>
          <w:numId w:val="5"/>
        </w:numPr>
        <w:rPr>
          <w:rFonts w:hint="eastAsia" w:ascii="宋体" w:hAnsi="宋体" w:eastAsia="宋体" w:cs="宋体"/>
          <w:sz w:val="24"/>
          <w:szCs w:val="24"/>
        </w:rPr>
      </w:pPr>
      <w:r>
        <w:rPr>
          <w:rFonts w:hint="eastAsia" w:ascii="宋体" w:hAnsi="宋体" w:eastAsia="宋体" w:cs="宋体"/>
          <w:b/>
          <w:bCs/>
          <w:sz w:val="24"/>
          <w:szCs w:val="24"/>
        </w:rPr>
        <w:t>动态UI支持有限</w:t>
      </w:r>
      <w:r>
        <w:rPr>
          <w:rFonts w:hint="eastAsia" w:ascii="宋体" w:hAnsi="宋体" w:eastAsia="宋体" w:cs="宋体"/>
          <w:sz w:val="24"/>
          <w:szCs w:val="24"/>
        </w:rPr>
        <w:t>：对于高度动态的界面（如布局随数据频繁变化），XML的静态特性可能不够灵活</w:t>
      </w:r>
    </w:p>
    <w:p w14:paraId="74D48CC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5C1FFD15">
      <w:pPr>
        <w:numPr>
          <w:ilvl w:val="2"/>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：复杂布局的ViewBinding初始化可能轻微影响页面加载速度</w:t>
      </w:r>
    </w:p>
    <w:p w14:paraId="0C0D715F">
      <w:pPr>
        <w:numPr>
          <w:ilvl w:val="2"/>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：使用标签拆分复杂布局，按需加载；结合异步布局加载技术</w:t>
      </w:r>
    </w:p>
    <w:p w14:paraId="4BA9A4C0">
      <w:pPr>
        <w:numPr>
          <w:ilvl w:val="0"/>
          <w:numId w:val="7"/>
        </w:numPr>
        <w:rPr>
          <w:rFonts w:hint="eastAsia" w:ascii="宋体" w:hAnsi="宋体" w:eastAsia="宋体" w:cs="宋体"/>
          <w:sz w:val="24"/>
          <w:szCs w:val="24"/>
        </w:rPr>
      </w:pPr>
      <w:r>
        <w:rPr>
          <w:rFonts w:hint="eastAsia" w:ascii="宋体" w:hAnsi="宋体" w:eastAsia="宋体" w:cs="宋体"/>
          <w:sz w:val="24"/>
          <w:szCs w:val="24"/>
        </w:rPr>
        <w:t>RecyclerView + 自定义Adapter（风控数据列表）</w:t>
      </w:r>
    </w:p>
    <w:p w14:paraId="30DC9ED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w:t>
      </w:r>
    </w:p>
    <w:p w14:paraId="78846195">
      <w:pPr>
        <w:numPr>
          <w:ilvl w:val="2"/>
          <w:numId w:val="5"/>
        </w:numPr>
        <w:rPr>
          <w:rFonts w:hint="eastAsia" w:ascii="宋体" w:hAnsi="宋体" w:eastAsia="宋体" w:cs="宋体"/>
          <w:sz w:val="24"/>
          <w:szCs w:val="24"/>
        </w:rPr>
      </w:pPr>
      <w:r>
        <w:rPr>
          <w:rFonts w:hint="eastAsia" w:ascii="宋体" w:hAnsi="宋体" w:eastAsia="宋体" w:cs="宋体"/>
          <w:b/>
          <w:bCs/>
          <w:sz w:val="24"/>
          <w:szCs w:val="24"/>
        </w:rPr>
        <w:t>大数据集高效处理</w:t>
      </w:r>
      <w:r>
        <w:rPr>
          <w:rFonts w:hint="eastAsia" w:ascii="宋体" w:hAnsi="宋体" w:eastAsia="宋体" w:cs="宋体"/>
          <w:sz w:val="24"/>
          <w:szCs w:val="24"/>
        </w:rPr>
        <w:t>:针对风控系统海量借贷申请、信用记录等数据，通过ViewHolder复用机制确保列表滚动流畅，内存占用可控</w:t>
      </w:r>
    </w:p>
    <w:p w14:paraId="2E418BF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0F330FE4">
      <w:pPr>
        <w:numPr>
          <w:ilvl w:val="2"/>
          <w:numId w:val="5"/>
        </w:numPr>
        <w:rPr>
          <w:rFonts w:hint="eastAsia" w:ascii="宋体" w:hAnsi="宋体" w:eastAsia="宋体" w:cs="宋体"/>
          <w:sz w:val="24"/>
          <w:szCs w:val="24"/>
        </w:rPr>
      </w:pPr>
      <w:r>
        <w:rPr>
          <w:rFonts w:hint="eastAsia" w:ascii="宋体" w:hAnsi="宋体" w:eastAsia="宋体" w:cs="宋体"/>
          <w:b/>
          <w:bCs/>
          <w:sz w:val="24"/>
          <w:szCs w:val="24"/>
        </w:rPr>
        <w:t>性能优异</w:t>
      </w:r>
      <w:r>
        <w:rPr>
          <w:rFonts w:hint="eastAsia" w:ascii="宋体" w:hAnsi="宋体" w:eastAsia="宋体" w:cs="宋体"/>
          <w:sz w:val="24"/>
          <w:szCs w:val="24"/>
        </w:rPr>
        <w:t>：视图复用最大限度减少内存占用和布局计算，避免内存不足</w:t>
      </w:r>
    </w:p>
    <w:p w14:paraId="582135D4">
      <w:pPr>
        <w:numPr>
          <w:ilvl w:val="2"/>
          <w:numId w:val="5"/>
        </w:numPr>
        <w:rPr>
          <w:rFonts w:hint="eastAsia" w:ascii="宋体" w:hAnsi="宋体" w:eastAsia="宋体" w:cs="宋体"/>
          <w:sz w:val="24"/>
          <w:szCs w:val="24"/>
        </w:rPr>
      </w:pPr>
      <w:r>
        <w:rPr>
          <w:rFonts w:hint="eastAsia" w:ascii="宋体" w:hAnsi="宋体" w:eastAsia="宋体" w:cs="宋体"/>
          <w:b/>
          <w:bCs/>
          <w:sz w:val="24"/>
          <w:szCs w:val="24"/>
        </w:rPr>
        <w:t>灵活性高</w:t>
      </w:r>
      <w:r>
        <w:rPr>
          <w:rFonts w:hint="eastAsia" w:ascii="宋体" w:hAnsi="宋体" w:eastAsia="宋体" w:cs="宋体"/>
          <w:sz w:val="24"/>
          <w:szCs w:val="24"/>
        </w:rPr>
        <w:t>:支持多种布局类型、动画效果，可根据风险等级动态调整项样式（如颜色标识高风险客户）</w:t>
      </w:r>
    </w:p>
    <w:p w14:paraId="50372FC6">
      <w:pPr>
        <w:numPr>
          <w:ilvl w:val="2"/>
          <w:numId w:val="5"/>
        </w:numPr>
        <w:rPr>
          <w:rFonts w:hint="eastAsia" w:ascii="宋体" w:hAnsi="宋体" w:eastAsia="宋体" w:cs="宋体"/>
          <w:sz w:val="24"/>
          <w:szCs w:val="24"/>
        </w:rPr>
      </w:pPr>
      <w:r>
        <w:rPr>
          <w:rFonts w:hint="eastAsia" w:ascii="宋体" w:hAnsi="宋体" w:eastAsia="宋体" w:cs="宋体"/>
          <w:b/>
          <w:bCs/>
          <w:sz w:val="24"/>
          <w:szCs w:val="24"/>
        </w:rPr>
        <w:t>与Java业务逻辑紧密集成</w:t>
      </w:r>
      <w:r>
        <w:rPr>
          <w:rFonts w:hint="eastAsia" w:ascii="宋体" w:hAnsi="宋体" w:eastAsia="宋体" w:cs="宋体"/>
          <w:sz w:val="24"/>
          <w:szCs w:val="24"/>
        </w:rPr>
        <w:t>:Adapter中直接嵌入Java风控逻辑，实现数据到UI的直接映射</w:t>
      </w:r>
    </w:p>
    <w:p w14:paraId="2C25FAA2">
      <w:pPr>
        <w:numPr>
          <w:ilvl w:val="2"/>
          <w:numId w:val="5"/>
        </w:numPr>
        <w:rPr>
          <w:rFonts w:hint="eastAsia" w:ascii="宋体" w:hAnsi="宋体" w:eastAsia="宋体" w:cs="宋体"/>
          <w:sz w:val="24"/>
          <w:szCs w:val="24"/>
        </w:rPr>
      </w:pPr>
      <w:r>
        <w:rPr>
          <w:rFonts w:hint="eastAsia" w:ascii="宋体" w:hAnsi="宋体" w:eastAsia="宋体" w:cs="宋体"/>
          <w:b/>
          <w:bCs/>
          <w:sz w:val="24"/>
          <w:szCs w:val="24"/>
        </w:rPr>
        <w:t>动画反馈业务状态</w:t>
      </w:r>
      <w:r>
        <w:rPr>
          <w:rFonts w:hint="eastAsia" w:ascii="宋体" w:hAnsi="宋体" w:eastAsia="宋体" w:cs="宋体"/>
          <w:sz w:val="24"/>
          <w:szCs w:val="24"/>
        </w:rPr>
        <w:t>:支持项增删动画，当风控审批状态变更时提供视觉反馈，增强操作体验</w:t>
      </w:r>
    </w:p>
    <w:p w14:paraId="597C2961">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0538A077">
      <w:pPr>
        <w:numPr>
          <w:ilvl w:val="2"/>
          <w:numId w:val="5"/>
        </w:numPr>
        <w:rPr>
          <w:rFonts w:hint="eastAsia" w:ascii="宋体" w:hAnsi="宋体" w:eastAsia="宋体" w:cs="宋体"/>
          <w:sz w:val="24"/>
          <w:szCs w:val="24"/>
        </w:rPr>
      </w:pPr>
      <w:r>
        <w:rPr>
          <w:rFonts w:hint="eastAsia" w:ascii="宋体" w:hAnsi="宋体" w:eastAsia="宋体" w:cs="宋体"/>
          <w:b/>
          <w:bCs/>
          <w:sz w:val="24"/>
          <w:szCs w:val="24"/>
        </w:rPr>
        <w:t>配置复杂度高</w:t>
      </w:r>
      <w:r>
        <w:rPr>
          <w:rFonts w:hint="eastAsia" w:ascii="宋体" w:hAnsi="宋体" w:eastAsia="宋体" w:cs="宋体"/>
          <w:sz w:val="24"/>
          <w:szCs w:val="24"/>
        </w:rPr>
        <w:t>：需手动实现Adapter、ViewHolder及布局管理器，初期学习成本较高</w:t>
      </w:r>
    </w:p>
    <w:p w14:paraId="08F3C181">
      <w:pPr>
        <w:numPr>
          <w:ilvl w:val="2"/>
          <w:numId w:val="5"/>
        </w:numPr>
        <w:rPr>
          <w:rFonts w:hint="eastAsia" w:ascii="宋体" w:hAnsi="宋体" w:eastAsia="宋体" w:cs="宋体"/>
          <w:sz w:val="24"/>
          <w:szCs w:val="24"/>
        </w:rPr>
      </w:pPr>
      <w:r>
        <w:rPr>
          <w:rFonts w:hint="eastAsia" w:ascii="宋体" w:hAnsi="宋体" w:eastAsia="宋体" w:cs="宋体"/>
          <w:b/>
          <w:bCs/>
          <w:sz w:val="24"/>
          <w:szCs w:val="24"/>
        </w:rPr>
        <w:t>动画处理繁琐</w:t>
      </w:r>
      <w:r>
        <w:rPr>
          <w:rFonts w:hint="eastAsia" w:ascii="宋体" w:hAnsi="宋体" w:eastAsia="宋体" w:cs="宋体"/>
          <w:sz w:val="24"/>
          <w:szCs w:val="24"/>
        </w:rPr>
        <w:t>：项动画需额外配置，复杂动画可能引发性能问题</w:t>
      </w:r>
    </w:p>
    <w:p w14:paraId="773A567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3C542D3C">
      <w:pPr>
        <w:numPr>
          <w:ilvl w:val="2"/>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：风控数据可能包含多类型视图、图片加载等，滚动时易卡顿</w:t>
      </w:r>
    </w:p>
    <w:p w14:paraId="2CB44609">
      <w:pPr>
        <w:numPr>
          <w:ilvl w:val="2"/>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：使用DiffUtil计算数据差异，避免全局刷新；异步加载图片（结合Glide）；启用RecyclerView的预加载机制</w:t>
      </w:r>
    </w:p>
    <w:p w14:paraId="04DD1762">
      <w:pPr>
        <w:pStyle w:val="6"/>
        <w:rPr>
          <w:rFonts w:hint="eastAsia" w:ascii="宋体" w:hAnsi="宋体" w:eastAsia="宋体" w:cs="宋体"/>
          <w:sz w:val="24"/>
          <w:szCs w:val="24"/>
        </w:rPr>
      </w:pPr>
      <w:bookmarkStart w:id="89" w:name="material-design-components金融级ui组件"/>
      <w:r>
        <w:rPr>
          <w:rFonts w:hint="eastAsia" w:ascii="宋体" w:hAnsi="宋体" w:eastAsia="宋体" w:cs="宋体"/>
          <w:sz w:val="24"/>
          <w:szCs w:val="24"/>
        </w:rPr>
        <w:t>Material Design Components（金融级UI组件）</w:t>
      </w:r>
    </w:p>
    <w:p w14:paraId="3CC60E7D">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w:t>
      </w:r>
    </w:p>
    <w:p w14:paraId="385FB78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主题系统统一</w:t>
      </w:r>
      <w:r>
        <w:rPr>
          <w:rFonts w:hint="eastAsia" w:ascii="宋体" w:hAnsi="宋体" w:eastAsia="宋体" w:cs="宋体"/>
          <w:sz w:val="24"/>
          <w:szCs w:val="24"/>
        </w:rPr>
        <w:t>：通过MaterialTheme配置品牌色、字体等，确保UI一致性，降低设计成本</w:t>
      </w:r>
    </w:p>
    <w:p w14:paraId="79CC2266">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4F94A50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开箱即用</w:t>
      </w:r>
      <w:r>
        <w:rPr>
          <w:rFonts w:hint="eastAsia" w:ascii="宋体" w:hAnsi="宋体" w:eastAsia="宋体" w:cs="宋体"/>
          <w:sz w:val="24"/>
          <w:szCs w:val="24"/>
        </w:rPr>
        <w:t>：提供丰富的预设组件（如按钮、输入框、卡片），加速开发</w:t>
      </w:r>
    </w:p>
    <w:p w14:paraId="7E054958">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21C7CE6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定制性受限</w:t>
      </w:r>
      <w:r>
        <w:rPr>
          <w:rFonts w:hint="eastAsia" w:ascii="宋体" w:hAnsi="宋体" w:eastAsia="宋体" w:cs="宋体"/>
          <w:sz w:val="24"/>
          <w:szCs w:val="24"/>
        </w:rPr>
        <w:t>：高度定制UI时可能需重写组件样式，工作量较大</w:t>
      </w:r>
    </w:p>
    <w:p w14:paraId="3EBA8DD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包体积增加</w:t>
      </w:r>
      <w:r>
        <w:rPr>
          <w:rFonts w:hint="eastAsia" w:ascii="宋体" w:hAnsi="宋体" w:eastAsia="宋体" w:cs="宋体"/>
          <w:sz w:val="24"/>
          <w:szCs w:val="24"/>
        </w:rPr>
        <w:t>：引入完整MDC库会轻微增加APK大小</w:t>
      </w:r>
    </w:p>
    <w:p w14:paraId="45254089">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48B7FA4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：金融应用常需高度定制UI，可能与MD默认样式不兼容</w:t>
      </w:r>
    </w:p>
    <w:p w14:paraId="4B1CFCB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：使用Theme Overrides和Shape Appearance覆盖默认样式；对特殊需求自定义View</w:t>
      </w:r>
    </w:p>
    <w:bookmarkEnd w:id="89"/>
    <w:p w14:paraId="78A0EF63">
      <w:pPr>
        <w:pStyle w:val="6"/>
        <w:rPr>
          <w:rFonts w:hint="eastAsia" w:ascii="宋体" w:hAnsi="宋体" w:eastAsia="宋体" w:cs="宋体"/>
          <w:sz w:val="24"/>
          <w:szCs w:val="24"/>
        </w:rPr>
      </w:pPr>
      <w:bookmarkStart w:id="90" w:name="fragment-+-navigation页面导航架构"/>
      <w:r>
        <w:rPr>
          <w:rFonts w:hint="eastAsia" w:ascii="宋体" w:hAnsi="宋体" w:eastAsia="宋体" w:cs="宋体"/>
          <w:sz w:val="24"/>
          <w:szCs w:val="24"/>
        </w:rPr>
        <w:t>Fragment + Navigation（页面导航架构）</w:t>
      </w:r>
      <w:bookmarkStart w:id="102" w:name="_GoBack"/>
      <w:bookmarkEnd w:id="102"/>
    </w:p>
    <w:p w14:paraId="6C233FFF">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w:t>
      </w:r>
    </w:p>
    <w:p w14:paraId="5B8F457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业务流程模块化</w:t>
      </w:r>
      <w:r>
        <w:rPr>
          <w:rFonts w:hint="eastAsia" w:ascii="宋体" w:hAnsi="宋体" w:eastAsia="宋体" w:cs="宋体"/>
          <w:sz w:val="24"/>
          <w:szCs w:val="24"/>
        </w:rPr>
        <w:t>:将贷前审核、风险评估、贷后监控等环节封装为独立Fragment，实现功能解耦和代码复用</w:t>
      </w:r>
    </w:p>
    <w:p w14:paraId="707FEBC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状态持久化</w:t>
      </w:r>
      <w:r>
        <w:rPr>
          <w:rFonts w:hint="eastAsia" w:ascii="宋体" w:hAnsi="宋体" w:eastAsia="宋体" w:cs="宋体"/>
          <w:sz w:val="24"/>
          <w:szCs w:val="24"/>
        </w:rPr>
        <w:t>:FragmentManager提供状态保存和恢复，确保用户在不同页面间的操作状态不丢失</w:t>
      </w:r>
    </w:p>
    <w:p w14:paraId="28FA95A8">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7BF0EE4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生命周期管理</w:t>
      </w:r>
      <w:r>
        <w:rPr>
          <w:rFonts w:hint="eastAsia" w:ascii="宋体" w:hAnsi="宋体" w:eastAsia="宋体" w:cs="宋体"/>
          <w:sz w:val="24"/>
          <w:szCs w:val="24"/>
        </w:rPr>
        <w:t>:FragmentManager自动管理Fragment生命周期，避免内存泄漏</w:t>
      </w:r>
    </w:p>
    <w:p w14:paraId="438F6DA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导航可视化</w:t>
      </w:r>
      <w:r>
        <w:rPr>
          <w:rFonts w:hint="eastAsia" w:ascii="宋体" w:hAnsi="宋体" w:eastAsia="宋体" w:cs="宋体"/>
          <w:sz w:val="24"/>
          <w:szCs w:val="24"/>
        </w:rPr>
        <w:t>：Navigation组件提供图形化导航图，清晰定义页面跳转关系</w:t>
      </w:r>
    </w:p>
    <w:p w14:paraId="379DAA98">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799108C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初始化性能</w:t>
      </w:r>
      <w:r>
        <w:rPr>
          <w:rFonts w:hint="eastAsia" w:ascii="宋体" w:hAnsi="宋体" w:eastAsia="宋体" w:cs="宋体"/>
          <w:sz w:val="24"/>
          <w:szCs w:val="24"/>
        </w:rPr>
        <w:t>：多Fragment页面切换可能因布局加载导致卡顿</w:t>
      </w:r>
    </w:p>
    <w:p w14:paraId="352D620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嵌套管理复杂</w:t>
      </w:r>
      <w:r>
        <w:rPr>
          <w:rFonts w:hint="eastAsia" w:ascii="宋体" w:hAnsi="宋体" w:eastAsia="宋体" w:cs="宋体"/>
          <w:sz w:val="24"/>
          <w:szCs w:val="24"/>
        </w:rPr>
        <w:t>：FragmentManager嵌套管理复杂，容易出现状态错乱</w:t>
      </w:r>
    </w:p>
    <w:p w14:paraId="27D4754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4BDE763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:多个Fragment需访问同一风控数据源时，数据同步困难</w:t>
      </w:r>
    </w:p>
    <w:p w14:paraId="4772BFD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：使用ViewModel或LiveData共享数据，或通过接口回调方式实现数据同步；使用Navigation组件实现页面间的无缝切换</w:t>
      </w:r>
    </w:p>
    <w:bookmarkEnd w:id="90"/>
    <w:p w14:paraId="122A385F">
      <w:pPr>
        <w:pStyle w:val="6"/>
        <w:rPr>
          <w:rFonts w:hint="eastAsia" w:ascii="宋体" w:hAnsi="宋体" w:eastAsia="宋体" w:cs="宋体"/>
          <w:sz w:val="24"/>
          <w:szCs w:val="24"/>
        </w:rPr>
      </w:pPr>
      <w:bookmarkStart w:id="91" w:name="mpandroidchart-+-自定义渲染风控数据可视化"/>
      <w:r>
        <w:rPr>
          <w:rFonts w:hint="eastAsia" w:ascii="宋体" w:hAnsi="宋体" w:eastAsia="宋体" w:cs="宋体"/>
          <w:sz w:val="24"/>
          <w:szCs w:val="24"/>
        </w:rPr>
        <w:t>MPAndroidChart + 自定义渲染（风控数据可视化）</w:t>
      </w:r>
    </w:p>
    <w:p w14:paraId="63EB4E77">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选择的原因</w:t>
      </w:r>
      <w:r>
        <w:rPr>
          <w:rFonts w:hint="eastAsia" w:ascii="宋体" w:hAnsi="宋体" w:eastAsia="宋体" w:cs="宋体"/>
          <w:sz w:val="24"/>
          <w:szCs w:val="24"/>
        </w:rPr>
        <w:t>：</w:t>
      </w:r>
    </w:p>
    <w:p w14:paraId="729CB14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金融图表专业展示</w:t>
      </w:r>
      <w:r>
        <w:rPr>
          <w:rFonts w:hint="eastAsia" w:ascii="宋体" w:hAnsi="宋体" w:eastAsia="宋体" w:cs="宋体"/>
          <w:sz w:val="24"/>
          <w:szCs w:val="24"/>
        </w:rPr>
        <w:t>：提供折线图、柱状图、饼图等，满足风控指标多样化展示需求</w:t>
      </w:r>
    </w:p>
    <w:p w14:paraId="206FD26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实时数据更新</w:t>
      </w:r>
      <w:r>
        <w:rPr>
          <w:rFonts w:hint="eastAsia" w:ascii="宋体" w:hAnsi="宋体" w:eastAsia="宋体" w:cs="宋体"/>
          <w:sz w:val="24"/>
          <w:szCs w:val="24"/>
        </w:rPr>
        <w:t>：结合LiveData可实现监控数据的动态刷新</w:t>
      </w:r>
    </w:p>
    <w:p w14:paraId="3776D552">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5C924AB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交互性强</w:t>
      </w:r>
      <w:r>
        <w:rPr>
          <w:rFonts w:hint="eastAsia" w:ascii="宋体" w:hAnsi="宋体" w:eastAsia="宋体" w:cs="宋体"/>
          <w:sz w:val="24"/>
          <w:szCs w:val="24"/>
        </w:rPr>
        <w:t>：支持手势缩放、拖拽查看数据细节，提升分析效率</w:t>
      </w:r>
    </w:p>
    <w:p w14:paraId="2964BD82">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性能优化</w:t>
      </w:r>
      <w:r>
        <w:rPr>
          <w:rFonts w:hint="eastAsia" w:ascii="宋体" w:hAnsi="宋体" w:eastAsia="宋体" w:cs="宋体"/>
          <w:sz w:val="24"/>
          <w:szCs w:val="24"/>
        </w:rPr>
        <w:t>：针对移动端优化渲染效率，支持大数据集流畅展示</w:t>
      </w:r>
    </w:p>
    <w:p w14:paraId="32C7843A">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211D069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包体积影响</w:t>
      </w:r>
      <w:r>
        <w:rPr>
          <w:rFonts w:hint="eastAsia" w:ascii="宋体" w:hAnsi="宋体" w:eastAsia="宋体" w:cs="宋体"/>
          <w:sz w:val="24"/>
          <w:szCs w:val="24"/>
        </w:rPr>
        <w:t>:MPAndroidChart库较大，会增加APK大小</w:t>
      </w:r>
    </w:p>
    <w:p w14:paraId="0E47FB9B">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72C81AA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：实时风控数据更新时，图表刷新可能引发UI阻塞</w:t>
      </w:r>
    </w:p>
    <w:p w14:paraId="079ADC9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：使用自定义Renderer优化图表渲染效率，避免UI卡顿；结合LiveData实现数据实时更新</w:t>
      </w:r>
    </w:p>
    <w:bookmarkEnd w:id="88"/>
    <w:bookmarkEnd w:id="91"/>
    <w:p w14:paraId="6C64599B">
      <w:pPr>
        <w:pStyle w:val="5"/>
        <w:rPr>
          <w:rFonts w:hint="eastAsia" w:ascii="宋体" w:hAnsi="宋体" w:eastAsia="宋体" w:cs="宋体"/>
          <w:sz w:val="24"/>
          <w:szCs w:val="24"/>
        </w:rPr>
      </w:pPr>
      <w:bookmarkStart w:id="92" w:name="web端-2"/>
      <w:r>
        <w:rPr>
          <w:rFonts w:hint="eastAsia" w:ascii="宋体" w:hAnsi="宋体" w:eastAsia="宋体" w:cs="宋体"/>
          <w:sz w:val="24"/>
          <w:szCs w:val="24"/>
        </w:rPr>
        <w:t>web端</w:t>
      </w:r>
    </w:p>
    <w:p w14:paraId="3B178628">
      <w:pPr>
        <w:pStyle w:val="6"/>
        <w:rPr>
          <w:rFonts w:hint="eastAsia" w:ascii="宋体" w:hAnsi="宋体" w:eastAsia="宋体" w:cs="宋体"/>
          <w:sz w:val="24"/>
          <w:szCs w:val="24"/>
        </w:rPr>
      </w:pPr>
      <w:bookmarkStart w:id="93" w:name="vue-3-+-composition-api核心框架"/>
      <w:r>
        <w:rPr>
          <w:rFonts w:hint="eastAsia" w:ascii="宋体" w:hAnsi="宋体" w:eastAsia="宋体" w:cs="宋体"/>
          <w:sz w:val="24"/>
          <w:szCs w:val="24"/>
        </w:rPr>
        <w:t>Vue 3 + Composition API(核心框架)</w:t>
      </w:r>
    </w:p>
    <w:p w14:paraId="786147B2">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：Vue 3作为当前主流前端框架，配合Composition API提供更灵活的逻辑复用方式，适合复杂金融风控系统的UI开发需求</w:t>
      </w:r>
    </w:p>
    <w:p w14:paraId="6969D7D0">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2EF5CF2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逻辑组合能力</w:t>
      </w:r>
      <w:r>
        <w:rPr>
          <w:rFonts w:hint="eastAsia" w:ascii="宋体" w:hAnsi="宋体" w:eastAsia="宋体" w:cs="宋体"/>
          <w:sz w:val="24"/>
          <w:szCs w:val="24"/>
        </w:rPr>
        <w:t>：Composition API使复杂风控业务逻辑可以模块化封装和复用</w:t>
      </w:r>
    </w:p>
    <w:p w14:paraId="4818940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体积优化</w:t>
      </w:r>
      <w:r>
        <w:rPr>
          <w:rFonts w:hint="eastAsia" w:ascii="宋体" w:hAnsi="宋体" w:eastAsia="宋体" w:cs="宋体"/>
          <w:sz w:val="24"/>
          <w:szCs w:val="24"/>
        </w:rPr>
        <w:t>：Vue 3采用tree-shaking机制，移除无用代码，减少包体积</w:t>
      </w:r>
    </w:p>
    <w:p w14:paraId="774F6208">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7B7EB862">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生态兼容性</w:t>
      </w:r>
      <w:r>
        <w:rPr>
          <w:rFonts w:hint="eastAsia" w:ascii="宋体" w:hAnsi="宋体" w:eastAsia="宋体" w:cs="宋体"/>
          <w:sz w:val="24"/>
          <w:szCs w:val="24"/>
        </w:rPr>
        <w:t>：部分Vue 2插件尚未完全适配Vue 3</w:t>
      </w:r>
    </w:p>
    <w:p w14:paraId="6D5C449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0093FEA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：复杂风控表单的状态管理和验证逻辑难以维护</w:t>
      </w:r>
    </w:p>
    <w:p w14:paraId="40DCAE6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：使用Composition API封装可复用的风控表单逻辑，结合Vuelidate进行表单验证</w:t>
      </w:r>
    </w:p>
    <w:bookmarkEnd w:id="93"/>
    <w:p w14:paraId="35CC931E">
      <w:pPr>
        <w:pStyle w:val="6"/>
        <w:rPr>
          <w:rFonts w:hint="eastAsia" w:ascii="宋体" w:hAnsi="宋体" w:eastAsia="宋体" w:cs="宋体"/>
          <w:sz w:val="24"/>
          <w:szCs w:val="24"/>
        </w:rPr>
      </w:pPr>
      <w:bookmarkStart w:id="94" w:name="element-plusui组件库"/>
      <w:r>
        <w:rPr>
          <w:rFonts w:hint="eastAsia" w:ascii="宋体" w:hAnsi="宋体" w:eastAsia="宋体" w:cs="宋体"/>
          <w:sz w:val="24"/>
          <w:szCs w:val="24"/>
        </w:rPr>
        <w:t>Element Plus（UI组件库）</w:t>
      </w:r>
    </w:p>
    <w:p w14:paraId="19D4292F">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：Element Plus是基于Vue 3的企业级UI组件库，提供丰富的金融级UI组件，符合风控系统对专业性和稳定性的要求</w:t>
      </w:r>
    </w:p>
    <w:p w14:paraId="3BB591AB">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393BB32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组件丰富</w:t>
      </w:r>
      <w:r>
        <w:rPr>
          <w:rFonts w:hint="eastAsia" w:ascii="宋体" w:hAnsi="宋体" w:eastAsia="宋体" w:cs="宋体"/>
          <w:sz w:val="24"/>
          <w:szCs w:val="24"/>
        </w:rPr>
        <w:t>：提供丰富的金融级UI组件，包括表单、表格、图表等，满足复杂风控系统的UI开发需求</w:t>
      </w:r>
    </w:p>
    <w:p w14:paraId="70DD02D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主题定制</w:t>
      </w:r>
      <w:r>
        <w:rPr>
          <w:rFonts w:hint="eastAsia" w:ascii="宋体" w:hAnsi="宋体" w:eastAsia="宋体" w:cs="宋体"/>
          <w:sz w:val="24"/>
          <w:szCs w:val="24"/>
        </w:rPr>
        <w:t>：提供主题定制功能，可根据业务需求调整组件样式</w:t>
      </w:r>
    </w:p>
    <w:p w14:paraId="20190AD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TypeScript友好</w:t>
      </w:r>
      <w:r>
        <w:rPr>
          <w:rFonts w:hint="eastAsia" w:ascii="宋体" w:hAnsi="宋体" w:eastAsia="宋体" w:cs="宋体"/>
          <w:sz w:val="24"/>
          <w:szCs w:val="24"/>
        </w:rPr>
        <w:t>:完整的类型定义，提供更好的开发体验</w:t>
      </w:r>
    </w:p>
    <w:p w14:paraId="736FDBA0">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3F8CABC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包体积较大</w:t>
      </w:r>
      <w:r>
        <w:rPr>
          <w:rFonts w:hint="eastAsia" w:ascii="宋体" w:hAnsi="宋体" w:eastAsia="宋体" w:cs="宋体"/>
          <w:sz w:val="24"/>
          <w:szCs w:val="24"/>
        </w:rPr>
        <w:t>:完整引入会增加打包体积</w:t>
      </w:r>
    </w:p>
    <w:p w14:paraId="3A130A0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定制深度有限</w:t>
      </w:r>
      <w:r>
        <w:rPr>
          <w:rFonts w:hint="eastAsia" w:ascii="宋体" w:hAnsi="宋体" w:eastAsia="宋体" w:cs="宋体"/>
          <w:sz w:val="24"/>
          <w:szCs w:val="24"/>
        </w:rPr>
        <w:t>:高度定制化UI时需要重写组件样式</w:t>
      </w:r>
    </w:p>
    <w:p w14:paraId="520884E0">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25E0A17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：风控数据表格需要高性能渲染和复杂交互</w:t>
      </w:r>
    </w:p>
    <w:p w14:paraId="504FAB1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：使用Element Plus的Virtual Table虚拟滚动处理大数据量，结合自定义渲染函数实现复杂交互</w:t>
      </w:r>
    </w:p>
    <w:bookmarkEnd w:id="94"/>
    <w:p w14:paraId="48CC8141">
      <w:pPr>
        <w:pStyle w:val="6"/>
        <w:rPr>
          <w:rFonts w:hint="eastAsia" w:ascii="宋体" w:hAnsi="宋体" w:eastAsia="宋体" w:cs="宋体"/>
          <w:sz w:val="24"/>
          <w:szCs w:val="24"/>
        </w:rPr>
      </w:pPr>
      <w:bookmarkStart w:id="95" w:name="flex-+-grid-css-+-响应式设计页面布局"/>
      <w:r>
        <w:rPr>
          <w:rFonts w:hint="eastAsia" w:ascii="宋体" w:hAnsi="宋体" w:eastAsia="宋体" w:cs="宋体"/>
          <w:sz w:val="24"/>
          <w:szCs w:val="24"/>
        </w:rPr>
        <w:t>Flex + Grid CSS + 响应式设计（页面布局）</w:t>
      </w:r>
    </w:p>
    <w:p w14:paraId="5AB8A64A">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：现代CSS布局方案能够提供灵活、自适应的页面布局，适应风控系统多设备访问需求</w:t>
      </w:r>
    </w:p>
    <w:p w14:paraId="6EC13E6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22DFEFE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布局灵活</w:t>
      </w:r>
      <w:r>
        <w:rPr>
          <w:rFonts w:hint="eastAsia" w:ascii="宋体" w:hAnsi="宋体" w:eastAsia="宋体" w:cs="宋体"/>
          <w:sz w:val="24"/>
          <w:szCs w:val="24"/>
        </w:rPr>
        <w:t>:lexbox适合组件级布局，Grid适合页面级复杂布局</w:t>
      </w:r>
    </w:p>
    <w:p w14:paraId="475239F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响应式友好</w:t>
      </w:r>
      <w:r>
        <w:rPr>
          <w:rFonts w:hint="eastAsia" w:ascii="宋体" w:hAnsi="宋体" w:eastAsia="宋体" w:cs="宋体"/>
          <w:sz w:val="24"/>
          <w:szCs w:val="24"/>
        </w:rPr>
        <w:t>:天然支持响应式设计，适配不同屏幕尺寸</w:t>
      </w:r>
    </w:p>
    <w:p w14:paraId="419C76F7">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35278CF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兼容性考虑</w:t>
      </w:r>
      <w:r>
        <w:rPr>
          <w:rFonts w:hint="eastAsia" w:ascii="宋体" w:hAnsi="宋体" w:eastAsia="宋体" w:cs="宋体"/>
          <w:sz w:val="24"/>
          <w:szCs w:val="24"/>
        </w:rPr>
        <w:t>:不同浏览器对Flex布局的支持情况不同，需要处理老旧浏览器兼容问题</w:t>
      </w:r>
    </w:p>
    <w:p w14:paraId="70B29C83">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1A0CB45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：风控仪表盘包含大量复杂图表和数据指标，在不同尺寸设备上保持可读性和操作性困难</w:t>
      </w:r>
    </w:p>
    <w:p w14:paraId="3C7C79E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：采用移动优先的响应式策略，使用CSS容器查询实现更精细的布局</w:t>
      </w:r>
    </w:p>
    <w:bookmarkEnd w:id="95"/>
    <w:p w14:paraId="58DCD670">
      <w:pPr>
        <w:pStyle w:val="6"/>
        <w:rPr>
          <w:rFonts w:hint="eastAsia" w:ascii="宋体" w:hAnsi="宋体" w:eastAsia="宋体" w:cs="宋体"/>
          <w:sz w:val="24"/>
          <w:szCs w:val="24"/>
        </w:rPr>
      </w:pPr>
      <w:bookmarkStart w:id="96" w:name="echarts-+-vue-echarts可视化组件"/>
      <w:r>
        <w:rPr>
          <w:rFonts w:hint="eastAsia" w:ascii="宋体" w:hAnsi="宋体" w:eastAsia="宋体" w:cs="宋体"/>
          <w:sz w:val="24"/>
          <w:szCs w:val="24"/>
        </w:rPr>
        <w:t>ECharts + Vue-ECharts（可视化组件）</w:t>
      </w:r>
    </w:p>
    <w:p w14:paraId="55B6323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：ECharts是业界领先的数据可视化库，提供丰富的图表类型</w:t>
      </w:r>
    </w:p>
    <w:p w14:paraId="23C0BAF3">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009FDDC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图表类型丰富</w:t>
      </w:r>
      <w:r>
        <w:rPr>
          <w:rFonts w:hint="eastAsia" w:ascii="宋体" w:hAnsi="宋体" w:eastAsia="宋体" w:cs="宋体"/>
          <w:sz w:val="24"/>
          <w:szCs w:val="24"/>
        </w:rPr>
        <w:t>:ECharts提供了丰富的图表类型，包括折线图、柱状图、饼图等，满足复杂风控系统的可视化需求</w:t>
      </w:r>
    </w:p>
    <w:p w14:paraId="3537320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交互能力强</w:t>
      </w:r>
      <w:r>
        <w:rPr>
          <w:rFonts w:hint="eastAsia" w:ascii="宋体" w:hAnsi="宋体" w:eastAsia="宋体" w:cs="宋体"/>
          <w:sz w:val="24"/>
          <w:szCs w:val="24"/>
        </w:rPr>
        <w:t>:支持数据筛选、区域缩放、详情提示等交互功能</w:t>
      </w:r>
    </w:p>
    <w:p w14:paraId="1033C7E3">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43993791">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定制复杂度高</w:t>
      </w:r>
      <w:r>
        <w:rPr>
          <w:rFonts w:hint="eastAsia" w:ascii="宋体" w:hAnsi="宋体" w:eastAsia="宋体" w:cs="宋体"/>
          <w:sz w:val="24"/>
          <w:szCs w:val="24"/>
        </w:rPr>
        <w:t>:高度定制化图表需要深入理解配置项，工作量较大</w:t>
      </w:r>
    </w:p>
    <w:p w14:paraId="02BCA8AA">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051EF9F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：实时监控数据需要动态更新图表</w:t>
      </w:r>
    </w:p>
    <w:p w14:paraId="5FAAA22C">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：使用Vue-ECharts组件，结合响应式数据实现图表动态更新；按需引入图表组件减小体积修改</w:t>
      </w:r>
    </w:p>
    <w:bookmarkEnd w:id="96"/>
    <w:p w14:paraId="2690A35D">
      <w:pPr>
        <w:pStyle w:val="6"/>
        <w:rPr>
          <w:rFonts w:hint="eastAsia" w:ascii="宋体" w:hAnsi="宋体" w:eastAsia="宋体" w:cs="宋体"/>
          <w:sz w:val="24"/>
          <w:szCs w:val="24"/>
        </w:rPr>
      </w:pPr>
      <w:bookmarkStart w:id="97" w:name="vue-router-4页面路由"/>
      <w:r>
        <w:rPr>
          <w:rFonts w:hint="eastAsia" w:ascii="宋体" w:hAnsi="宋体" w:eastAsia="宋体" w:cs="宋体"/>
          <w:sz w:val="24"/>
          <w:szCs w:val="24"/>
        </w:rPr>
        <w:t>Vue Router 4（页面路由）</w:t>
      </w:r>
    </w:p>
    <w:p w14:paraId="7685908F">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选择原因</w:t>
      </w:r>
      <w:r>
        <w:rPr>
          <w:rFonts w:hint="eastAsia" w:ascii="宋体" w:hAnsi="宋体" w:eastAsia="宋体" w:cs="宋体"/>
          <w:sz w:val="24"/>
          <w:szCs w:val="24"/>
        </w:rPr>
        <w:t>：Vue官方路由库，与Vue 3深度集成，提供完整的路由解决方案</w:t>
      </w:r>
    </w:p>
    <w:p w14:paraId="7607B0BE">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优势</w:t>
      </w:r>
      <w:r>
        <w:rPr>
          <w:rFonts w:hint="eastAsia" w:ascii="宋体" w:hAnsi="宋体" w:eastAsia="宋体" w:cs="宋体"/>
          <w:sz w:val="24"/>
          <w:szCs w:val="24"/>
        </w:rPr>
        <w:t>：</w:t>
      </w:r>
    </w:p>
    <w:p w14:paraId="5657F49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动态路由</w:t>
      </w:r>
      <w:r>
        <w:rPr>
          <w:rFonts w:hint="eastAsia" w:ascii="宋体" w:hAnsi="宋体" w:eastAsia="宋体" w:cs="宋体"/>
          <w:sz w:val="24"/>
          <w:szCs w:val="24"/>
        </w:rPr>
        <w:t>:支持路由配置动态加载，适应微前端架构</w:t>
      </w:r>
    </w:p>
    <w:p w14:paraId="33350E96">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路由守卫</w:t>
      </w:r>
      <w:r>
        <w:rPr>
          <w:rFonts w:hint="eastAsia" w:ascii="宋体" w:hAnsi="宋体" w:eastAsia="宋体" w:cs="宋体"/>
          <w:sz w:val="24"/>
          <w:szCs w:val="24"/>
        </w:rPr>
        <w:t>:提供完整的导航守卫，支持权限控制</w:t>
      </w:r>
    </w:p>
    <w:p w14:paraId="03F2B815">
      <w:pPr>
        <w:numPr>
          <w:ilvl w:val="0"/>
          <w:numId w:val="5"/>
        </w:numPr>
        <w:rPr>
          <w:rFonts w:hint="eastAsia" w:ascii="宋体" w:hAnsi="宋体" w:eastAsia="宋体" w:cs="宋体"/>
          <w:sz w:val="24"/>
          <w:szCs w:val="24"/>
        </w:rPr>
      </w:pPr>
      <w:r>
        <w:rPr>
          <w:rFonts w:hint="eastAsia" w:ascii="宋体" w:hAnsi="宋体" w:eastAsia="宋体" w:cs="宋体"/>
          <w:b/>
          <w:bCs/>
          <w:sz w:val="24"/>
          <w:szCs w:val="24"/>
        </w:rPr>
        <w:t>不足</w:t>
      </w:r>
      <w:r>
        <w:rPr>
          <w:rFonts w:hint="eastAsia" w:ascii="宋体" w:hAnsi="宋体" w:eastAsia="宋体" w:cs="宋体"/>
          <w:sz w:val="24"/>
          <w:szCs w:val="24"/>
        </w:rPr>
        <w:t>：</w:t>
      </w:r>
    </w:p>
    <w:p w14:paraId="73C5FF9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配置维护成本</w:t>
      </w:r>
      <w:r>
        <w:rPr>
          <w:rFonts w:hint="eastAsia" w:ascii="宋体" w:hAnsi="宋体" w:eastAsia="宋体" w:cs="宋体"/>
          <w:sz w:val="24"/>
          <w:szCs w:val="24"/>
        </w:rPr>
        <w:t>:随着风控模块增加，路由配置文件会急剧膨胀，难以维护</w:t>
      </w:r>
    </w:p>
    <w:p w14:paraId="063967B9">
      <w:pPr>
        <w:numPr>
          <w:ilvl w:val="0"/>
          <w:numId w:val="5"/>
        </w:numPr>
        <w:rPr>
          <w:rFonts w:hint="eastAsia" w:ascii="宋体" w:hAnsi="宋体" w:eastAsia="宋体" w:cs="宋体"/>
          <w:sz w:val="24"/>
          <w:szCs w:val="24"/>
        </w:rPr>
      </w:pPr>
      <w:r>
        <w:rPr>
          <w:rFonts w:hint="eastAsia" w:ascii="宋体" w:hAnsi="宋体" w:eastAsia="宋体" w:cs="宋体"/>
          <w:b/>
          <w:bCs/>
          <w:sz w:val="24"/>
          <w:szCs w:val="24"/>
        </w:rPr>
        <w:t>面临的挑战及解决思路</w:t>
      </w:r>
      <w:r>
        <w:rPr>
          <w:rFonts w:hint="eastAsia" w:ascii="宋体" w:hAnsi="宋体" w:eastAsia="宋体" w:cs="宋体"/>
          <w:sz w:val="24"/>
          <w:szCs w:val="24"/>
        </w:rPr>
        <w:t>：</w:t>
      </w:r>
    </w:p>
    <w:p w14:paraId="6E233CB2">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挑战</w:t>
      </w:r>
      <w:r>
        <w:rPr>
          <w:rFonts w:hint="eastAsia" w:ascii="宋体" w:hAnsi="宋体" w:eastAsia="宋体" w:cs="宋体"/>
          <w:sz w:val="24"/>
          <w:szCs w:val="24"/>
        </w:rPr>
        <w:t>：风控系统多模块、多权限级别的路由管理</w:t>
      </w:r>
    </w:p>
    <w:p w14:paraId="3EABABA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解决思路</w:t>
      </w:r>
      <w:r>
        <w:rPr>
          <w:rFonts w:hint="eastAsia" w:ascii="宋体" w:hAnsi="宋体" w:eastAsia="宋体" w:cs="宋体"/>
          <w:sz w:val="24"/>
          <w:szCs w:val="24"/>
        </w:rPr>
        <w:t>：基于用户角色动态生成路由表，结合路由元信息实现细粒度权限控制</w:t>
      </w:r>
    </w:p>
    <w:bookmarkEnd w:id="87"/>
    <w:bookmarkEnd w:id="92"/>
    <w:bookmarkEnd w:id="97"/>
    <w:p w14:paraId="5C9CF9E3">
      <w:pPr>
        <w:pStyle w:val="4"/>
        <w:rPr>
          <w:rFonts w:hint="eastAsia" w:ascii="宋体" w:hAnsi="宋体" w:eastAsia="宋体" w:cs="宋体"/>
          <w:sz w:val="24"/>
          <w:szCs w:val="24"/>
        </w:rPr>
      </w:pPr>
      <w:bookmarkStart w:id="98" w:name="后端"/>
      <w:r>
        <w:rPr>
          <w:rFonts w:hint="eastAsia" w:ascii="宋体" w:hAnsi="宋体" w:eastAsia="宋体" w:cs="宋体"/>
          <w:sz w:val="24"/>
          <w:szCs w:val="24"/>
        </w:rPr>
        <w:t>后端</w:t>
      </w:r>
    </w:p>
    <w:p w14:paraId="3AB66E5E">
      <w:pPr>
        <w:pStyle w:val="5"/>
        <w:rPr>
          <w:rFonts w:hint="eastAsia" w:ascii="宋体" w:hAnsi="宋体" w:eastAsia="宋体" w:cs="宋体"/>
          <w:sz w:val="24"/>
          <w:szCs w:val="24"/>
        </w:rPr>
      </w:pPr>
      <w:bookmarkStart w:id="99" w:name="springspring-boot"/>
      <w:r>
        <w:rPr>
          <w:rFonts w:hint="eastAsia" w:ascii="宋体" w:hAnsi="宋体" w:eastAsia="宋体" w:cs="宋体"/>
          <w:sz w:val="24"/>
          <w:szCs w:val="24"/>
        </w:rPr>
        <w:t>Spring(Spring Boot)</w:t>
      </w:r>
    </w:p>
    <w:p w14:paraId="426DE29A">
      <w:pPr>
        <w:numPr>
          <w:ilvl w:val="0"/>
          <w:numId w:val="5"/>
        </w:numPr>
        <w:rPr>
          <w:rFonts w:hint="eastAsia" w:ascii="宋体" w:hAnsi="宋体" w:eastAsia="宋体" w:cs="宋体"/>
          <w:sz w:val="24"/>
          <w:szCs w:val="24"/>
        </w:rPr>
      </w:pPr>
      <w:r>
        <w:rPr>
          <w:rFonts w:hint="eastAsia" w:ascii="宋体" w:hAnsi="宋体" w:eastAsia="宋体" w:cs="宋体"/>
          <w:sz w:val="24"/>
          <w:szCs w:val="24"/>
        </w:rPr>
        <w:t>优势</w:t>
      </w:r>
    </w:p>
    <w:p w14:paraId="51A3BB2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依赖注入（IoC）与面向切面（AOP）</w:t>
      </w:r>
      <w:r>
        <w:rPr>
          <w:rFonts w:hint="eastAsia" w:ascii="宋体" w:hAnsi="宋体" w:eastAsia="宋体" w:cs="宋体"/>
          <w:sz w:val="24"/>
          <w:szCs w:val="24"/>
        </w:rPr>
        <w:t>：这是Spring的核心。IoC让代码结构更清晰、更易于管理和测试（松耦合）。AOP可以优雅地解决跨领域问题，如日志、事务、安全等，而无需侵入业务代码。</w:t>
      </w:r>
    </w:p>
    <w:p w14:paraId="1D34162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快速开发</w:t>
      </w:r>
      <w:r>
        <w:rPr>
          <w:rFonts w:hint="eastAsia" w:ascii="宋体" w:hAnsi="宋体" w:eastAsia="宋体" w:cs="宋体"/>
          <w:sz w:val="24"/>
          <w:szCs w:val="24"/>
        </w:rPr>
        <w:t>：Spring Boot通过自动配置和 Starter 依赖，极大地减少了XML和样板代码的编写。如只需要引入一个spring-boot-starter-web，就自动配置好了Tomcat和一个基础的Web环境</w:t>
      </w:r>
    </w:p>
    <w:p w14:paraId="5BC6CBC1">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全面的技术集成</w:t>
      </w:r>
      <w:r>
        <w:rPr>
          <w:rFonts w:hint="eastAsia" w:ascii="宋体" w:hAnsi="宋体" w:eastAsia="宋体" w:cs="宋体"/>
          <w:sz w:val="24"/>
          <w:szCs w:val="24"/>
        </w:rPr>
        <w:t>：Spring项目为几乎所有主流技术都提供了无缝集成方案，包括但不限于</w:t>
      </w:r>
    </w:p>
    <w:p w14:paraId="47A89564">
      <w:pPr>
        <w:numPr>
          <w:ilvl w:val="2"/>
          <w:numId w:val="5"/>
        </w:numPr>
        <w:rPr>
          <w:rFonts w:hint="eastAsia" w:ascii="宋体" w:hAnsi="宋体" w:eastAsia="宋体" w:cs="宋体"/>
          <w:sz w:val="24"/>
          <w:szCs w:val="24"/>
        </w:rPr>
      </w:pPr>
      <w:r>
        <w:rPr>
          <w:rFonts w:hint="eastAsia" w:ascii="宋体" w:hAnsi="宋体" w:eastAsia="宋体" w:cs="宋体"/>
          <w:sz w:val="24"/>
          <w:szCs w:val="24"/>
        </w:rPr>
        <w:t>数据访问：Spring Data JPA (用于ORM)， Spring Data JDBC, MyBatis集成</w:t>
      </w:r>
    </w:p>
    <w:p w14:paraId="471B4C59">
      <w:pPr>
        <w:numPr>
          <w:ilvl w:val="2"/>
          <w:numId w:val="5"/>
        </w:numPr>
        <w:rPr>
          <w:rFonts w:hint="eastAsia" w:ascii="宋体" w:hAnsi="宋体" w:eastAsia="宋体" w:cs="宋体"/>
          <w:sz w:val="24"/>
          <w:szCs w:val="24"/>
        </w:rPr>
      </w:pPr>
      <w:r>
        <w:rPr>
          <w:rFonts w:hint="eastAsia" w:ascii="宋体" w:hAnsi="宋体" w:eastAsia="宋体" w:cs="宋体"/>
          <w:sz w:val="24"/>
          <w:szCs w:val="24"/>
        </w:rPr>
        <w:t>安全：Spring Security，功能极其强大的安全框架</w:t>
      </w:r>
    </w:p>
    <w:p w14:paraId="23901DCD">
      <w:pPr>
        <w:numPr>
          <w:ilvl w:val="2"/>
          <w:numId w:val="5"/>
        </w:numPr>
        <w:rPr>
          <w:rFonts w:hint="eastAsia" w:ascii="宋体" w:hAnsi="宋体" w:eastAsia="宋体" w:cs="宋体"/>
          <w:sz w:val="24"/>
          <w:szCs w:val="24"/>
        </w:rPr>
      </w:pPr>
      <w:r>
        <w:rPr>
          <w:rFonts w:hint="eastAsia" w:ascii="宋体" w:hAnsi="宋体" w:eastAsia="宋体" w:cs="宋体"/>
          <w:sz w:val="24"/>
          <w:szCs w:val="24"/>
        </w:rPr>
        <w:t>云原生：Spring Cloud为微服务架构提供了一整套解决方案</w:t>
      </w:r>
    </w:p>
    <w:p w14:paraId="5A21BF4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强大的事务管理</w:t>
      </w:r>
      <w:r>
        <w:rPr>
          <w:rFonts w:hint="eastAsia" w:ascii="宋体" w:hAnsi="宋体" w:eastAsia="宋体" w:cs="宋体"/>
          <w:sz w:val="24"/>
          <w:szCs w:val="24"/>
        </w:rPr>
        <w:t>：提供了声明式事务管理，用简单的注解（@Transactional）就能管理复杂的事务，非常方便可靠</w:t>
      </w:r>
    </w:p>
    <w:p w14:paraId="3583C59F">
      <w:pPr>
        <w:numPr>
          <w:ilvl w:val="0"/>
          <w:numId w:val="5"/>
        </w:numPr>
        <w:rPr>
          <w:rFonts w:hint="eastAsia" w:ascii="宋体" w:hAnsi="宋体" w:eastAsia="宋体" w:cs="宋体"/>
          <w:sz w:val="24"/>
          <w:szCs w:val="24"/>
        </w:rPr>
      </w:pPr>
      <w:r>
        <w:rPr>
          <w:rFonts w:hint="eastAsia" w:ascii="宋体" w:hAnsi="宋体" w:eastAsia="宋体" w:cs="宋体"/>
          <w:sz w:val="24"/>
          <w:szCs w:val="24"/>
        </w:rPr>
        <w:t>不足</w:t>
      </w:r>
    </w:p>
    <w:p w14:paraId="4475ACA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依赖版本冲突</w:t>
      </w:r>
      <w:r>
        <w:rPr>
          <w:rFonts w:hint="eastAsia" w:ascii="宋体" w:hAnsi="宋体" w:eastAsia="宋体" w:cs="宋体"/>
          <w:sz w:val="24"/>
          <w:szCs w:val="24"/>
        </w:rPr>
        <w:t>：项目通常会引入大量第三方库（JAR）。这些库本身又依赖其他库，很容易发生不同版本的依赖冲突</w:t>
      </w:r>
    </w:p>
    <w:p w14:paraId="1C18D97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配置复杂</w:t>
      </w:r>
      <w:r>
        <w:rPr>
          <w:rFonts w:hint="eastAsia" w:ascii="宋体" w:hAnsi="宋体" w:eastAsia="宋体" w:cs="宋体"/>
          <w:sz w:val="24"/>
          <w:szCs w:val="24"/>
        </w:rPr>
        <w:t>：需要面对大量的注解配置、YAML/Properties 文件</w:t>
      </w:r>
    </w:p>
    <w:p w14:paraId="225C620C">
      <w:pPr>
        <w:numPr>
          <w:ilvl w:val="0"/>
          <w:numId w:val="5"/>
        </w:numPr>
        <w:rPr>
          <w:rFonts w:hint="eastAsia" w:ascii="宋体" w:hAnsi="宋体" w:eastAsia="宋体" w:cs="宋体"/>
          <w:sz w:val="24"/>
          <w:szCs w:val="24"/>
        </w:rPr>
      </w:pPr>
      <w:r>
        <w:rPr>
          <w:rFonts w:hint="eastAsia" w:ascii="宋体" w:hAnsi="宋体" w:eastAsia="宋体" w:cs="宋体"/>
          <w:sz w:val="24"/>
          <w:szCs w:val="24"/>
        </w:rPr>
        <w:t>挑战</w:t>
      </w:r>
    </w:p>
    <w:p w14:paraId="3065091E">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多数据源动态切换复杂</w:t>
      </w:r>
      <w:r>
        <w:rPr>
          <w:rFonts w:hint="eastAsia" w:ascii="宋体" w:hAnsi="宋体" w:eastAsia="宋体" w:cs="宋体"/>
          <w:sz w:val="24"/>
          <w:szCs w:val="24"/>
        </w:rPr>
        <w:t>：风控系统需同时连接：用户主库（MySQL）、设备指纹库（可能分库）、第三方数据缓存（Redis）、Spring Data JPA/MyBatis 多数据源配置易出错。</w:t>
      </w:r>
    </w:p>
    <w:p w14:paraId="51E82EBE">
      <w:pPr>
        <w:numPr>
          <w:ilvl w:val="0"/>
          <w:numId w:val="5"/>
        </w:numPr>
        <w:rPr>
          <w:rFonts w:hint="eastAsia" w:ascii="宋体" w:hAnsi="宋体" w:eastAsia="宋体" w:cs="宋体"/>
          <w:sz w:val="24"/>
          <w:szCs w:val="24"/>
        </w:rPr>
      </w:pPr>
      <w:r>
        <w:rPr>
          <w:rFonts w:hint="eastAsia" w:ascii="宋体" w:hAnsi="宋体" w:eastAsia="宋体" w:cs="宋体"/>
          <w:sz w:val="24"/>
          <w:szCs w:val="24"/>
        </w:rPr>
        <w:t>解决思路</w:t>
      </w:r>
      <w:r>
        <w:rPr>
          <w:rFonts w:hint="eastAsia" w:ascii="宋体" w:hAnsi="宋体" w:eastAsia="宋体" w:cs="宋体"/>
          <w:sz w:val="24"/>
          <w:szCs w:val="24"/>
        </w:rPr>
        <w:br w:type="textWrapping"/>
      </w:r>
      <w:r>
        <w:rPr>
          <w:rFonts w:hint="eastAsia" w:ascii="宋体" w:hAnsi="宋体" w:eastAsia="宋体" w:cs="宋体"/>
          <w:sz w:val="24"/>
          <w:szCs w:val="24"/>
        </w:rPr>
        <w:t>将数据源的标识与当前执行的操作（方法/代码块）绑定起来，并让框架在底层自动完成切换</w:t>
      </w:r>
    </w:p>
    <w:bookmarkEnd w:id="99"/>
    <w:p w14:paraId="1B66DA0F">
      <w:pPr>
        <w:pStyle w:val="5"/>
        <w:rPr>
          <w:rFonts w:hint="eastAsia" w:ascii="宋体" w:hAnsi="宋体" w:eastAsia="宋体" w:cs="宋体"/>
          <w:sz w:val="24"/>
          <w:szCs w:val="24"/>
        </w:rPr>
      </w:pPr>
      <w:bookmarkStart w:id="100" w:name="mysql"/>
      <w:r>
        <w:rPr>
          <w:rFonts w:hint="eastAsia" w:ascii="宋体" w:hAnsi="宋体" w:eastAsia="宋体" w:cs="宋体"/>
          <w:sz w:val="24"/>
          <w:szCs w:val="24"/>
        </w:rPr>
        <w:t>MySQL</w:t>
      </w:r>
    </w:p>
    <w:p w14:paraId="14CC5F64">
      <w:pPr>
        <w:numPr>
          <w:ilvl w:val="0"/>
          <w:numId w:val="5"/>
        </w:numPr>
        <w:rPr>
          <w:rFonts w:hint="eastAsia" w:ascii="宋体" w:hAnsi="宋体" w:eastAsia="宋体" w:cs="宋体"/>
          <w:sz w:val="24"/>
          <w:szCs w:val="24"/>
        </w:rPr>
      </w:pPr>
      <w:r>
        <w:rPr>
          <w:rFonts w:hint="eastAsia" w:ascii="宋体" w:hAnsi="宋体" w:eastAsia="宋体" w:cs="宋体"/>
          <w:sz w:val="24"/>
          <w:szCs w:val="24"/>
        </w:rPr>
        <w:t>优势</w:t>
      </w:r>
    </w:p>
    <w:p w14:paraId="31E60EE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开源免费</w:t>
      </w:r>
      <w:r>
        <w:rPr>
          <w:rFonts w:hint="eastAsia" w:ascii="宋体" w:hAnsi="宋体" w:eastAsia="宋体" w:cs="宋体"/>
          <w:sz w:val="24"/>
          <w:szCs w:val="24"/>
        </w:rPr>
        <w:t>：MySQL 是最流行的开源关系型数据库之一，成本低</w:t>
      </w:r>
    </w:p>
    <w:p w14:paraId="1216B58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成熟稳定</w:t>
      </w:r>
      <w:r>
        <w:rPr>
          <w:rFonts w:hint="eastAsia" w:ascii="宋体" w:hAnsi="宋体" w:eastAsia="宋体" w:cs="宋体"/>
          <w:sz w:val="24"/>
          <w:szCs w:val="24"/>
        </w:rPr>
        <w:t>：经过数十年发展，事务支持（ACID）、主从复制、备份恢复等机制非常成熟</w:t>
      </w:r>
    </w:p>
    <w:p w14:paraId="1EBDDAE0">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性能良好</w:t>
      </w:r>
      <w:r>
        <w:rPr>
          <w:rFonts w:hint="eastAsia" w:ascii="宋体" w:hAnsi="宋体" w:eastAsia="宋体" w:cs="宋体"/>
          <w:sz w:val="24"/>
          <w:szCs w:val="24"/>
        </w:rPr>
        <w:t>：对于大多数 Web 应用（如用户管理、订单系统、内容管理），MySQL 足够高效</w:t>
      </w:r>
    </w:p>
    <w:p w14:paraId="2CA6D86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生态兼容性好</w:t>
      </w:r>
      <w:r>
        <w:rPr>
          <w:rFonts w:hint="eastAsia" w:ascii="宋体" w:hAnsi="宋体" w:eastAsia="宋体" w:cs="宋体"/>
          <w:sz w:val="24"/>
          <w:szCs w:val="24"/>
        </w:rPr>
        <w:t>：与 Java/Spring 集成无缝（通过 JDBC、MyBatis、JPA/Hibernate 等）</w:t>
      </w:r>
    </w:p>
    <w:p w14:paraId="20093D59">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云原生支持</w:t>
      </w:r>
      <w:r>
        <w:rPr>
          <w:rFonts w:hint="eastAsia" w:ascii="宋体" w:hAnsi="宋体" w:eastAsia="宋体" w:cs="宋体"/>
          <w:sz w:val="24"/>
          <w:szCs w:val="24"/>
        </w:rPr>
        <w:t>：各大云厂商（阿里云、AWS、腾讯云）都提供托管 MySQL 服务</w:t>
      </w:r>
    </w:p>
    <w:p w14:paraId="7A462D23">
      <w:pPr>
        <w:numPr>
          <w:ilvl w:val="0"/>
          <w:numId w:val="5"/>
        </w:numPr>
        <w:rPr>
          <w:rFonts w:hint="eastAsia" w:ascii="宋体" w:hAnsi="宋体" w:eastAsia="宋体" w:cs="宋体"/>
          <w:sz w:val="24"/>
          <w:szCs w:val="24"/>
        </w:rPr>
      </w:pPr>
      <w:r>
        <w:rPr>
          <w:rFonts w:hint="eastAsia" w:ascii="宋体" w:hAnsi="宋体" w:eastAsia="宋体" w:cs="宋体"/>
          <w:sz w:val="24"/>
          <w:szCs w:val="24"/>
        </w:rPr>
        <w:t>不足</w:t>
      </w:r>
    </w:p>
    <w:p w14:paraId="1F1AA0F7">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写入性能瓶颈明显</w:t>
      </w:r>
      <w:r>
        <w:rPr>
          <w:rFonts w:hint="eastAsia" w:ascii="宋体" w:hAnsi="宋体" w:eastAsia="宋体" w:cs="宋体"/>
          <w:sz w:val="24"/>
          <w:szCs w:val="24"/>
        </w:rPr>
        <w:t>： InnoDB 行锁 + redo log 机制在高并发写入（如批量设备指纹上报）时易成为瓶颈。</w:t>
      </w:r>
    </w:p>
    <w:p w14:paraId="1A11B74A">
      <w:pPr>
        <w:numPr>
          <w:ilvl w:val="0"/>
          <w:numId w:val="5"/>
        </w:numPr>
        <w:rPr>
          <w:rFonts w:hint="eastAsia" w:ascii="宋体" w:hAnsi="宋体" w:eastAsia="宋体" w:cs="宋体"/>
          <w:sz w:val="24"/>
          <w:szCs w:val="24"/>
        </w:rPr>
      </w:pPr>
      <w:r>
        <w:rPr>
          <w:rFonts w:hint="eastAsia" w:ascii="宋体" w:hAnsi="宋体" w:eastAsia="宋体" w:cs="宋体"/>
          <w:sz w:val="24"/>
          <w:szCs w:val="24"/>
        </w:rPr>
        <w:t>挑战</w:t>
      </w:r>
    </w:p>
    <w:p w14:paraId="3612C8A5">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敏感字段加密存储增加查询复杂度</w:t>
      </w:r>
      <w:r>
        <w:rPr>
          <w:rFonts w:hint="eastAsia" w:ascii="宋体" w:hAnsi="宋体" w:eastAsia="宋体" w:cs="宋体"/>
          <w:sz w:val="24"/>
          <w:szCs w:val="24"/>
        </w:rPr>
        <w:t>：身份证号、手机号加密后无法直接用于 WHERE 查询，需额外设计。</w:t>
      </w:r>
    </w:p>
    <w:p w14:paraId="35DAA930">
      <w:pPr>
        <w:numPr>
          <w:ilvl w:val="0"/>
          <w:numId w:val="5"/>
        </w:numPr>
        <w:rPr>
          <w:rFonts w:hint="eastAsia" w:ascii="宋体" w:hAnsi="宋体" w:eastAsia="宋体" w:cs="宋体"/>
          <w:sz w:val="24"/>
          <w:szCs w:val="24"/>
        </w:rPr>
      </w:pPr>
      <w:r>
        <w:rPr>
          <w:rFonts w:hint="eastAsia" w:ascii="宋体" w:hAnsi="宋体" w:eastAsia="宋体" w:cs="宋体"/>
          <w:sz w:val="24"/>
          <w:szCs w:val="24"/>
        </w:rPr>
        <w:t>解决思路</w:t>
      </w:r>
    </w:p>
    <w:p w14:paraId="71512412">
      <w:pPr>
        <w:numPr>
          <w:ilvl w:val="1"/>
          <w:numId w:val="5"/>
        </w:numPr>
        <w:rPr>
          <w:rFonts w:hint="eastAsia" w:ascii="宋体" w:hAnsi="宋体" w:eastAsia="宋体" w:cs="宋体"/>
          <w:sz w:val="24"/>
          <w:szCs w:val="24"/>
        </w:rPr>
      </w:pPr>
      <w:r>
        <w:rPr>
          <w:rFonts w:hint="eastAsia" w:ascii="宋体" w:hAnsi="宋体" w:eastAsia="宋体" w:cs="宋体"/>
          <w:sz w:val="24"/>
          <w:szCs w:val="24"/>
        </w:rPr>
        <w:t>不采用每条数据都直接插入MySQL的方式，而是引入一个消息队列作为缓冲层。设备指纹数据上报时，服务端不直接写数据库，而是先将数据发送到一个高性能的消息队列中，然后从消息队列中拉取数据，将多条记录合并成一个批次，再批量插入到MySQL数据库中</w:t>
      </w:r>
    </w:p>
    <w:p w14:paraId="64A25CA6">
      <w:pPr>
        <w:numPr>
          <w:ilvl w:val="1"/>
          <w:numId w:val="5"/>
        </w:numPr>
        <w:rPr>
          <w:rFonts w:hint="eastAsia" w:ascii="宋体" w:hAnsi="宋体" w:eastAsia="宋体" w:cs="宋体"/>
          <w:sz w:val="24"/>
          <w:szCs w:val="24"/>
        </w:rPr>
      </w:pPr>
      <w:r>
        <w:rPr>
          <w:rFonts w:hint="eastAsia" w:ascii="宋体" w:hAnsi="宋体" w:eastAsia="宋体" w:cs="宋体"/>
          <w:sz w:val="24"/>
          <w:szCs w:val="24"/>
        </w:rPr>
        <w:t>对需查询的字段（如身份证号）使用 确定性加密（如 AES with fixed IV），保证相同明文加密后结果一致。</w:t>
      </w:r>
    </w:p>
    <w:bookmarkEnd w:id="100"/>
    <w:p w14:paraId="755ED366">
      <w:pPr>
        <w:pStyle w:val="5"/>
        <w:rPr>
          <w:rFonts w:hint="eastAsia" w:ascii="宋体" w:hAnsi="宋体" w:eastAsia="宋体" w:cs="宋体"/>
          <w:sz w:val="24"/>
          <w:szCs w:val="24"/>
        </w:rPr>
      </w:pPr>
      <w:bookmarkStart w:id="101" w:name="redis"/>
      <w:r>
        <w:rPr>
          <w:rFonts w:hint="eastAsia" w:ascii="宋体" w:hAnsi="宋体" w:eastAsia="宋体" w:cs="宋体"/>
          <w:sz w:val="24"/>
          <w:szCs w:val="24"/>
        </w:rPr>
        <w:t>Redis</w:t>
      </w:r>
    </w:p>
    <w:p w14:paraId="47FA9B99">
      <w:pPr>
        <w:numPr>
          <w:ilvl w:val="0"/>
          <w:numId w:val="5"/>
        </w:numPr>
        <w:rPr>
          <w:rFonts w:hint="eastAsia" w:ascii="宋体" w:hAnsi="宋体" w:eastAsia="宋体" w:cs="宋体"/>
          <w:sz w:val="24"/>
          <w:szCs w:val="24"/>
        </w:rPr>
      </w:pPr>
      <w:r>
        <w:rPr>
          <w:rFonts w:hint="eastAsia" w:ascii="宋体" w:hAnsi="宋体" w:eastAsia="宋体" w:cs="宋体"/>
          <w:sz w:val="24"/>
          <w:szCs w:val="24"/>
        </w:rPr>
        <w:t>优势</w:t>
      </w:r>
    </w:p>
    <w:p w14:paraId="724E4A2F">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极高读写性能</w:t>
      </w:r>
      <w:r>
        <w:rPr>
          <w:rFonts w:hint="eastAsia" w:ascii="宋体" w:hAnsi="宋体" w:eastAsia="宋体" w:cs="宋体"/>
          <w:sz w:val="24"/>
          <w:szCs w:val="24"/>
        </w:rPr>
        <w:t>：基于内存操作，QPS 可达 10w+，适合缓存热点数据（如用户会话、商品信息）</w:t>
      </w:r>
    </w:p>
    <w:p w14:paraId="5CB93328">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丰富数据结构</w:t>
      </w:r>
      <w:r>
        <w:rPr>
          <w:rFonts w:hint="eastAsia" w:ascii="宋体" w:hAnsi="宋体" w:eastAsia="宋体" w:cs="宋体"/>
          <w:sz w:val="24"/>
          <w:szCs w:val="24"/>
        </w:rPr>
        <w:t>：支持 String、Hash、List、Set、ZSet 等，可用于实现排行榜、限流、分布式锁等场景</w:t>
      </w:r>
    </w:p>
    <w:p w14:paraId="14F6B86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持久化与高可用</w:t>
      </w:r>
      <w:r>
        <w:rPr>
          <w:rFonts w:hint="eastAsia" w:ascii="宋体" w:hAnsi="宋体" w:eastAsia="宋体" w:cs="宋体"/>
          <w:sz w:val="24"/>
          <w:szCs w:val="24"/>
        </w:rPr>
        <w:t>：支持 RDB/AOF 持久化，以及主从复制、哨兵、集群模式，保障数据安全和系统可用性</w:t>
      </w:r>
    </w:p>
    <w:p w14:paraId="784234AA">
      <w:pPr>
        <w:numPr>
          <w:ilvl w:val="1"/>
          <w:numId w:val="5"/>
        </w:numPr>
        <w:rPr>
          <w:rFonts w:hint="eastAsia" w:ascii="宋体" w:hAnsi="宋体" w:eastAsia="宋体" w:cs="宋体"/>
          <w:sz w:val="24"/>
          <w:szCs w:val="24"/>
        </w:rPr>
      </w:pPr>
      <w:r>
        <w:rPr>
          <w:rFonts w:hint="eastAsia" w:ascii="宋体" w:hAnsi="宋体" w:eastAsia="宋体" w:cs="宋体"/>
          <w:b/>
          <w:bCs/>
          <w:sz w:val="24"/>
          <w:szCs w:val="24"/>
        </w:rPr>
        <w:t>减轻数据库压力</w:t>
      </w:r>
      <w:r>
        <w:rPr>
          <w:rFonts w:hint="eastAsia" w:ascii="宋体" w:hAnsi="宋体" w:eastAsia="宋体" w:cs="宋体"/>
          <w:sz w:val="24"/>
          <w:szCs w:val="24"/>
        </w:rPr>
        <w:t>：将频繁读取的数据缓存到 Redis，显著降低 MySQL 负载</w:t>
      </w:r>
    </w:p>
    <w:p w14:paraId="0FA83D2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与Spring集成良好</w:t>
      </w:r>
      <w:r>
        <w:rPr>
          <w:rFonts w:hint="eastAsia" w:ascii="宋体" w:hAnsi="宋体" w:eastAsia="宋体" w:cs="宋体"/>
          <w:sz w:val="24"/>
          <w:szCs w:val="24"/>
        </w:rPr>
        <w:t>：通过 Spring Data Redis 可轻松操作 Redis</w:t>
      </w:r>
    </w:p>
    <w:p w14:paraId="14FC6136">
      <w:pPr>
        <w:numPr>
          <w:ilvl w:val="0"/>
          <w:numId w:val="5"/>
        </w:numPr>
        <w:rPr>
          <w:rFonts w:hint="eastAsia" w:ascii="宋体" w:hAnsi="宋体" w:eastAsia="宋体" w:cs="宋体"/>
          <w:sz w:val="24"/>
          <w:szCs w:val="24"/>
        </w:rPr>
      </w:pPr>
      <w:r>
        <w:rPr>
          <w:rFonts w:hint="eastAsia" w:ascii="宋体" w:hAnsi="宋体" w:eastAsia="宋体" w:cs="宋体"/>
          <w:sz w:val="24"/>
          <w:szCs w:val="24"/>
        </w:rPr>
        <w:t>不足</w:t>
      </w:r>
    </w:p>
    <w:p w14:paraId="6DC01644">
      <w:pPr>
        <w:numPr>
          <w:ilvl w:val="1"/>
          <w:numId w:val="5"/>
        </w:numPr>
        <w:rPr>
          <w:rFonts w:hint="eastAsia" w:ascii="宋体" w:hAnsi="宋体" w:eastAsia="宋体" w:cs="宋体"/>
          <w:sz w:val="24"/>
          <w:szCs w:val="24"/>
        </w:rPr>
      </w:pPr>
      <w:r>
        <w:rPr>
          <w:rFonts w:hint="eastAsia" w:ascii="宋体" w:hAnsi="宋体" w:eastAsia="宋体" w:cs="宋体"/>
          <w:b/>
          <w:bCs/>
          <w:sz w:val="24"/>
          <w:szCs w:val="24"/>
        </w:rPr>
        <w:t>集群模式运维复杂</w:t>
      </w:r>
      <w:r>
        <w:rPr>
          <w:rFonts w:hint="eastAsia" w:ascii="宋体" w:hAnsi="宋体" w:eastAsia="宋体" w:cs="宋体"/>
          <w:sz w:val="24"/>
          <w:szCs w:val="24"/>
        </w:rPr>
        <w:t>：Redis Cluster 需要至少 6 个节点，本地开发难以模拟。</w:t>
      </w:r>
    </w:p>
    <w:p w14:paraId="3FABE493">
      <w:pPr>
        <w:numPr>
          <w:ilvl w:val="0"/>
          <w:numId w:val="5"/>
        </w:numPr>
        <w:rPr>
          <w:rFonts w:hint="eastAsia" w:ascii="宋体" w:hAnsi="宋体" w:eastAsia="宋体" w:cs="宋体"/>
          <w:sz w:val="24"/>
          <w:szCs w:val="24"/>
        </w:rPr>
      </w:pPr>
      <w:r>
        <w:rPr>
          <w:rFonts w:hint="eastAsia" w:ascii="宋体" w:hAnsi="宋体" w:eastAsia="宋体" w:cs="宋体"/>
          <w:sz w:val="24"/>
          <w:szCs w:val="24"/>
        </w:rPr>
        <w:t>挑战</w:t>
      </w:r>
    </w:p>
    <w:p w14:paraId="4223AB9D">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缓存与数据库一致性问题</w:t>
      </w:r>
      <w:r>
        <w:rPr>
          <w:rFonts w:hint="eastAsia" w:ascii="宋体" w:hAnsi="宋体" w:eastAsia="宋体" w:cs="宋体"/>
          <w:sz w:val="24"/>
          <w:szCs w:val="24"/>
        </w:rPr>
        <w:t>：更新用户设备信息后，若未及时失效 Redis 缓存，风控引擎可能使用旧信息</w:t>
      </w:r>
    </w:p>
    <w:p w14:paraId="51AAADD4">
      <w:pPr>
        <w:numPr>
          <w:ilvl w:val="0"/>
          <w:numId w:val="5"/>
        </w:numPr>
        <w:rPr>
          <w:rFonts w:hint="eastAsia" w:ascii="宋体" w:hAnsi="宋体" w:eastAsia="宋体" w:cs="宋体"/>
          <w:sz w:val="24"/>
          <w:szCs w:val="24"/>
        </w:rPr>
      </w:pPr>
      <w:r>
        <w:rPr>
          <w:rFonts w:hint="eastAsia" w:ascii="宋体" w:hAnsi="宋体" w:eastAsia="宋体" w:cs="宋体"/>
          <w:sz w:val="24"/>
          <w:szCs w:val="24"/>
        </w:rPr>
        <w:t>解决思路</w:t>
      </w:r>
    </w:p>
    <w:p w14:paraId="7AE93F23">
      <w:pPr>
        <w:numPr>
          <w:ilvl w:val="1"/>
          <w:numId w:val="5"/>
        </w:numPr>
        <w:rPr>
          <w:rFonts w:hint="eastAsia" w:ascii="宋体" w:hAnsi="宋体" w:eastAsia="宋体" w:cs="宋体"/>
          <w:sz w:val="24"/>
          <w:szCs w:val="24"/>
        </w:rPr>
      </w:pPr>
      <w:r>
        <w:rPr>
          <w:rFonts w:hint="eastAsia" w:ascii="宋体" w:hAnsi="宋体" w:eastAsia="宋体" w:cs="宋体"/>
          <w:b/>
          <w:bCs/>
          <w:sz w:val="24"/>
          <w:szCs w:val="24"/>
        </w:rPr>
        <w:t>缓存后置 + 事后更新失效</w:t>
      </w:r>
      <w:r>
        <w:rPr>
          <w:rFonts w:hint="eastAsia" w:ascii="宋体" w:hAnsi="宋体" w:eastAsia="宋体" w:cs="宋体"/>
          <w:sz w:val="24"/>
          <w:szCs w:val="24"/>
        </w:rPr>
        <w:t>，读请求先读缓存，缓存没有则读库并回填。写请求直接更新数据库，然后显式地删除（Delete） Redis中对应的缓存</w:t>
      </w:r>
    </w:p>
    <w:p w14:paraId="226ADACB">
      <w:pPr>
        <w:numPr>
          <w:ilvl w:val="1"/>
          <w:numId w:val="5"/>
        </w:numPr>
        <w:rPr>
          <w:rFonts w:hint="eastAsia" w:ascii="宋体" w:hAnsi="宋体" w:eastAsia="宋体" w:cs="宋体"/>
          <w:sz w:val="24"/>
          <w:szCs w:val="24"/>
        </w:rPr>
      </w:pPr>
      <w:r>
        <w:rPr>
          <w:rFonts w:hint="eastAsia" w:ascii="宋体" w:hAnsi="宋体" w:eastAsia="宋体" w:cs="宋体"/>
          <w:b/>
          <w:bCs/>
          <w:sz w:val="24"/>
          <w:szCs w:val="24"/>
        </w:rPr>
        <w:t>为缓存设置合理的TTL</w:t>
      </w:r>
      <w:r>
        <w:rPr>
          <w:rFonts w:hint="eastAsia" w:ascii="宋体" w:hAnsi="宋体" w:eastAsia="宋体" w:cs="宋体"/>
          <w:sz w:val="24"/>
          <w:szCs w:val="24"/>
        </w:rPr>
        <w:t>（生存时间）：给所有风控缓存数据设置一个相对较短的过期时间</w:t>
      </w:r>
    </w:p>
    <w:bookmarkEnd w:id="74"/>
    <w:bookmarkEnd w:id="98"/>
    <w:bookmarkEnd w:id="101"/>
    <w:p w14:paraId="24D603A4">
      <w:pPr>
        <w:pStyle w:val="8"/>
        <w:rPr>
          <w:rFonts w:hint="default" w:ascii="宋体" w:hAnsi="宋体" w:cs="宋体"/>
          <w:b/>
          <w:bCs/>
          <w:sz w:val="24"/>
          <w:szCs w:val="24"/>
          <w:lang w:val="en-US" w:eastAsia="zh-CN"/>
        </w:rPr>
      </w:pPr>
    </w:p>
    <w:sectPr>
      <w:headerReference r:id="rId9" w:type="default"/>
      <w:footerReference r:id="rId11" w:type="default"/>
      <w:headerReference r:id="rId10" w:type="even"/>
      <w:pgSz w:w="11900" w:h="16840"/>
      <w:pgMar w:top="1985" w:right="1701" w:bottom="1985" w:left="1701" w:header="1559" w:footer="1559" w:gutter="0"/>
      <w:pgBorders>
        <w:top w:val="single" w:color="auto" w:sz="4" w:space="1"/>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iti SC Medium">
    <w:altName w:val="Malgun Gothic Semilight"/>
    <w:panose1 w:val="00000000000000000000"/>
    <w:charset w:val="88"/>
    <w:family w:val="auto"/>
    <w:pitch w:val="default"/>
    <w:sig w:usb0="00000000" w:usb1="00000000" w:usb2="00000010" w:usb3="00000000" w:csb0="003E0001" w:csb1="00000000"/>
  </w:font>
  <w:font w:name="Malgun Gothic Semilight">
    <w:panose1 w:val="020B0502040204020203"/>
    <w:charset w:val="86"/>
    <w:family w:val="auto"/>
    <w:pitch w:val="default"/>
    <w:sig w:usb0="900002AF" w:usb1="01D77CFB" w:usb2="00000012" w:usb3="00000000" w:csb0="203E01BD" w:csb1="D7FF0000"/>
  </w:font>
  <w:font w:name="Times">
    <w:altName w:val="Times New Roman"/>
    <w:panose1 w:val="00000500000000020000"/>
    <w:charset w:val="00"/>
    <w:family w:val="auto"/>
    <w:pitch w:val="default"/>
    <w:sig w:usb0="00000000" w:usb1="00000000" w:usb2="00000000" w:usb3="00000000" w:csb0="0000019F" w:csb1="00000000"/>
  </w:font>
  <w:font w:name="华文仿宋">
    <w:panose1 w:val="02010600040101010101"/>
    <w:charset w:val="86"/>
    <w:family w:val="auto"/>
    <w:pitch w:val="default"/>
    <w:sig w:usb0="00000287" w:usb1="080F0000" w:usb2="00000000" w:usb3="00000000" w:csb0="0004009F" w:csb1="DFD70000"/>
  </w:font>
  <w:font w:name="黑体-简">
    <w:altName w:val="黑体"/>
    <w:panose1 w:val="02000000000000000000"/>
    <w:charset w:val="88"/>
    <w:family w:val="auto"/>
    <w:pitch w:val="default"/>
    <w:sig w:usb0="00000000" w:usb1="00000000" w:usb2="00000010" w:usb3="00000000" w:csb0="003E0000" w:csb1="00000000"/>
  </w:font>
  <w:font w:name="Songti SC">
    <w:altName w:val="宋体"/>
    <w:panose1 w:val="02010600040101010101"/>
    <w:charset w:val="86"/>
    <w:family w:val="auto"/>
    <w:pitch w:val="default"/>
    <w:sig w:usb0="00000000" w:usb1="00000000" w:usb2="00000010" w:usb3="00000000" w:csb0="0014009F" w:csb1="00000000"/>
  </w:font>
  <w:font w:name="Consolas">
    <w:panose1 w:val="020B0609020204030204"/>
    <w:charset w:val="00"/>
    <w:family w:val="auto"/>
    <w:pitch w:val="default"/>
    <w:sig w:usb0="E00006FF" w:usb1="0000FCFF" w:usb2="00000001" w:usb3="00000000" w:csb0="6000019F" w:csb1="DFD7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Sans-Regular">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OpenSans-Bold">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OpenSans-Italic">
    <w:altName w:val="Segoe Print"/>
    <w:panose1 w:val="00000000000000000000"/>
    <w:charset w:val="00"/>
    <w:family w:val="auto"/>
    <w:pitch w:val="default"/>
    <w:sig w:usb0="00000000" w:usb1="00000000" w:usb2="00000000" w:usb3="00000000" w:csb0="00000000" w:csb1="00000000"/>
  </w:font>
  <w:font w:name="Lucida Console">
    <w:panose1 w:val="020B0609040504020204"/>
    <w:charset w:val="00"/>
    <w:family w:val="auto"/>
    <w:pitch w:val="default"/>
    <w:sig w:usb0="8000028F" w:usb1="00001800" w:usb2="00000000" w:usb3="00000000" w:csb0="0000001F" w:csb1="D7D70000"/>
  </w:font>
  <w:font w:name="Arial-BoldMT">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1EF0A">
    <w:pPr>
      <w:pStyle w:val="15"/>
      <w:framePr w:wrap="auto"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4</w:t>
    </w:r>
    <w:r>
      <w:rPr>
        <w:rStyle w:val="26"/>
      </w:rPr>
      <w:fldChar w:fldCharType="end"/>
    </w:r>
  </w:p>
  <w:p w14:paraId="21AC0B48">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1B17">
    <w:pPr>
      <w:pStyle w:val="15"/>
      <w:framePr w:wrap="auto"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I</w:t>
    </w:r>
    <w:r>
      <w:rPr>
        <w:rStyle w:val="26"/>
      </w:rPr>
      <w:fldChar w:fldCharType="end"/>
    </w:r>
  </w:p>
  <w:p w14:paraId="680AFF65">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D6D2">
    <w:pPr>
      <w:pStyle w:val="15"/>
      <w:framePr w:wrap="auto" w:vAnchor="text" w:hAnchor="margin" w:xAlign="center" w:y="1"/>
      <w:rPr>
        <w:rStyle w:val="26"/>
        <w:szCs w:val="18"/>
      </w:rPr>
    </w:pPr>
    <w:r>
      <w:rPr>
        <w:rStyle w:val="26"/>
        <w:szCs w:val="18"/>
      </w:rPr>
      <w:fldChar w:fldCharType="begin"/>
    </w:r>
    <w:r>
      <w:rPr>
        <w:rStyle w:val="26"/>
        <w:szCs w:val="18"/>
      </w:rPr>
      <w:instrText xml:space="preserve">PAGE  </w:instrText>
    </w:r>
    <w:r>
      <w:rPr>
        <w:rStyle w:val="26"/>
        <w:szCs w:val="18"/>
      </w:rPr>
      <w:fldChar w:fldCharType="separate"/>
    </w:r>
    <w:r>
      <w:rPr>
        <w:rStyle w:val="26"/>
        <w:szCs w:val="18"/>
      </w:rPr>
      <w:t>3</w:t>
    </w:r>
    <w:r>
      <w:rPr>
        <w:rStyle w:val="26"/>
        <w:szCs w:val="18"/>
      </w:rPr>
      <w:fldChar w:fldCharType="end"/>
    </w:r>
  </w:p>
  <w:p w14:paraId="23863C0A">
    <w:pPr>
      <w:pStyle w:val="15"/>
      <w:rPr>
        <w:rStyle w:val="26"/>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07E6">
    <w:pPr>
      <w:pStyle w:val="16"/>
      <w:pBdr>
        <w:top w:val="none" w:color="auto" w:sz="0" w:space="0"/>
        <w:left w:val="none" w:color="auto" w:sz="0" w:space="0"/>
        <w:bottom w:val="none" w:color="auto" w:sz="0" w:space="0"/>
        <w:right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DEC75">
    <w:pPr>
      <w:pStyle w:val="16"/>
      <w:jc w:val="center"/>
      <w:rPr>
        <w:sz w:val="21"/>
        <w:szCs w:val="21"/>
      </w:rPr>
    </w:pPr>
    <w:r>
      <w:rPr>
        <w:sz w:val="21"/>
        <w:szCs w:val="21"/>
      </w:rPr>
      <w:t>信软学院综合设计I中期报告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68F51">
    <w:pPr>
      <w:pStyle w:val="16"/>
      <w:jc w:val="center"/>
    </w:pPr>
    <w: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09F4C">
    <w:pPr>
      <w:pStyle w:val="16"/>
      <w:jc w:val="center"/>
    </w:pPr>
    <w:r>
      <w:rPr>
        <w:rFonts w:hint="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E82A0">
    <w:pPr>
      <w:pStyle w:val="16"/>
      <w:jc w:val="center"/>
      <w:rPr>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t>附页2 技术选型文档</w:t>
    </w:r>
    <w:r>
      <w:rPr>
        <w:sz w:val="21"/>
        <w:szCs w:val="21"/>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FD795">
    <w:pPr>
      <w:pStyle w:val="16"/>
      <w:jc w:val="center"/>
      <w:rPr>
        <w:sz w:val="21"/>
        <w:szCs w:val="21"/>
      </w:rPr>
    </w:pPr>
    <w:r>
      <w:rPr>
        <w:sz w:val="21"/>
        <w:szCs w:val="21"/>
      </w:rPr>
      <w:t>信软学院</w:t>
    </w:r>
    <w:r>
      <w:rPr>
        <w:rFonts w:hint="eastAsia"/>
        <w:sz w:val="21"/>
        <w:szCs w:val="21"/>
      </w:rPr>
      <w:t>进阶式挑战性综合项目</w:t>
    </w:r>
    <w:r>
      <w:rPr>
        <w:sz w:val="21"/>
        <w:szCs w:val="21"/>
      </w:rPr>
      <w:t>I中期报告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36076B88"/>
    <w:multiLevelType w:val="multilevel"/>
    <w:tmpl w:val="36076B88"/>
    <w:lvl w:ilvl="0" w:tentative="0">
      <w:start w:val="1"/>
      <w:numFmt w:val="decimal"/>
      <w:lvlText w:val="%1"/>
      <w:lvlJc w:val="left"/>
      <w:pPr>
        <w:ind w:left="360" w:hanging="360"/>
      </w:pPr>
      <w:rPr>
        <w:rFonts w:hint="default"/>
      </w:rPr>
    </w:lvl>
    <w:lvl w:ilvl="1" w:tentative="0">
      <w:start w:val="1"/>
      <w:numFmt w:val="decimal"/>
      <w:pStyle w:val="4"/>
      <w:lvlText w:val="1.%2"/>
      <w:lvlJc w:val="left"/>
      <w:pPr>
        <w:ind w:left="785" w:hanging="360"/>
      </w:pPr>
      <w:rPr>
        <w:rFonts w:hint="default"/>
      </w:rPr>
    </w:lvl>
    <w:lvl w:ilvl="2" w:tentative="0">
      <w:start w:val="1"/>
      <w:numFmt w:val="decimal"/>
      <w:lvlText w:val="%1.%2.%3"/>
      <w:lvlJc w:val="left"/>
      <w:pPr>
        <w:ind w:left="1570" w:hanging="720"/>
      </w:pPr>
      <w:rPr>
        <w:rFonts w:hint="default"/>
      </w:rPr>
    </w:lvl>
    <w:lvl w:ilvl="3" w:tentative="0">
      <w:start w:val="1"/>
      <w:numFmt w:val="decimal"/>
      <w:lvlText w:val="%1.%2.%3.%4"/>
      <w:lvlJc w:val="left"/>
      <w:pPr>
        <w:ind w:left="2355" w:hanging="1080"/>
      </w:pPr>
      <w:rPr>
        <w:rFonts w:hint="default"/>
      </w:rPr>
    </w:lvl>
    <w:lvl w:ilvl="4" w:tentative="0">
      <w:start w:val="1"/>
      <w:numFmt w:val="decimal"/>
      <w:lvlText w:val="%1.%2.%3.%4.%5"/>
      <w:lvlJc w:val="left"/>
      <w:pPr>
        <w:ind w:left="2780" w:hanging="1080"/>
      </w:pPr>
      <w:rPr>
        <w:rFonts w:hint="default"/>
      </w:rPr>
    </w:lvl>
    <w:lvl w:ilvl="5" w:tentative="0">
      <w:start w:val="1"/>
      <w:numFmt w:val="decimal"/>
      <w:lvlText w:val="%1.%2.%3.%4.%5.%6"/>
      <w:lvlJc w:val="left"/>
      <w:pPr>
        <w:ind w:left="3565" w:hanging="1440"/>
      </w:pPr>
      <w:rPr>
        <w:rFonts w:hint="default"/>
      </w:rPr>
    </w:lvl>
    <w:lvl w:ilvl="6" w:tentative="0">
      <w:start w:val="1"/>
      <w:numFmt w:val="decimal"/>
      <w:lvlText w:val="%1.%2.%3.%4.%5.%6.%7"/>
      <w:lvlJc w:val="left"/>
      <w:pPr>
        <w:ind w:left="3990" w:hanging="1440"/>
      </w:pPr>
      <w:rPr>
        <w:rFonts w:hint="default"/>
      </w:rPr>
    </w:lvl>
    <w:lvl w:ilvl="7" w:tentative="0">
      <w:start w:val="1"/>
      <w:numFmt w:val="decimal"/>
      <w:lvlText w:val="%1.%2.%3.%4.%5.%6.%7.%8"/>
      <w:lvlJc w:val="left"/>
      <w:pPr>
        <w:ind w:left="4775" w:hanging="1800"/>
      </w:pPr>
      <w:rPr>
        <w:rFonts w:hint="default"/>
      </w:rPr>
    </w:lvl>
    <w:lvl w:ilvl="8" w:tentative="0">
      <w:start w:val="1"/>
      <w:numFmt w:val="decimal"/>
      <w:lvlText w:val="%1.%2.%3.%4.%5.%6.%7.%8.%9"/>
      <w:lvlJc w:val="left"/>
      <w:pPr>
        <w:ind w:left="5560" w:hanging="2160"/>
      </w:pPr>
      <w:rPr>
        <w:rFonts w:hint="default"/>
      </w:rPr>
    </w:lvl>
  </w:abstractNum>
  <w:abstractNum w:abstractNumId="3">
    <w:nsid w:val="613C797D"/>
    <w:multiLevelType w:val="multilevel"/>
    <w:tmpl w:val="613C797D"/>
    <w:lvl w:ilvl="0" w:tentative="0">
      <w:start w:val="1"/>
      <w:numFmt w:val="decimal"/>
      <w:lvlText w:val="%1"/>
      <w:lvlJc w:val="left"/>
      <w:pPr>
        <w:ind w:left="425" w:hanging="425"/>
      </w:pPr>
      <w:rPr>
        <w:rFonts w:hint="eastAsia"/>
      </w:rPr>
    </w:lvl>
    <w:lvl w:ilvl="1" w:tentative="0">
      <w:start w:val="1"/>
      <w:numFmt w:val="decimal"/>
      <w:pStyle w:val="38"/>
      <w:lvlText w:val="%2.1"/>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E13CA52"/>
    <w:multiLevelType w:val="singleLevel"/>
    <w:tmpl w:val="6E13CA52"/>
    <w:lvl w:ilvl="0" w:tentative="0">
      <w:start w:val="3"/>
      <w:numFmt w:val="chineseCounting"/>
      <w:suff w:val="space"/>
      <w:lvlText w:val="第%1章"/>
      <w:lvlJc w:val="left"/>
      <w:rPr>
        <w:rFonts w:hint="eastAsia"/>
      </w:rPr>
    </w:lvl>
  </w:abstractNum>
  <w:abstractNum w:abstractNumId="5">
    <w:nsid w:val="7521F432"/>
    <w:multiLevelType w:val="multilevel"/>
    <w:tmpl w:val="7521F4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5"/>
  </w:num>
  <w:num w:numId="4">
    <w:abstractNumId w:val="4"/>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evenAndOddHeaders w:val="1"/>
  <w:drawingGridHorizontalSpacing w:val="10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95"/>
    <w:rsid w:val="00012391"/>
    <w:rsid w:val="00025BAB"/>
    <w:rsid w:val="00060DBD"/>
    <w:rsid w:val="000619EE"/>
    <w:rsid w:val="00067845"/>
    <w:rsid w:val="0007192A"/>
    <w:rsid w:val="000B5C79"/>
    <w:rsid w:val="000C3F49"/>
    <w:rsid w:val="000C62E7"/>
    <w:rsid w:val="000D5A06"/>
    <w:rsid w:val="000E729C"/>
    <w:rsid w:val="0010168A"/>
    <w:rsid w:val="00102BC8"/>
    <w:rsid w:val="00103D64"/>
    <w:rsid w:val="00111BD6"/>
    <w:rsid w:val="0011329C"/>
    <w:rsid w:val="00124FE7"/>
    <w:rsid w:val="00127653"/>
    <w:rsid w:val="00163E32"/>
    <w:rsid w:val="00186EB0"/>
    <w:rsid w:val="00193766"/>
    <w:rsid w:val="001A33BE"/>
    <w:rsid w:val="001A47AD"/>
    <w:rsid w:val="001A7B97"/>
    <w:rsid w:val="001B7F90"/>
    <w:rsid w:val="001E6DA0"/>
    <w:rsid w:val="001F248C"/>
    <w:rsid w:val="00201A52"/>
    <w:rsid w:val="00204D88"/>
    <w:rsid w:val="002165E7"/>
    <w:rsid w:val="0023773B"/>
    <w:rsid w:val="00240A90"/>
    <w:rsid w:val="00246AAE"/>
    <w:rsid w:val="002501FD"/>
    <w:rsid w:val="002504C2"/>
    <w:rsid w:val="002679A7"/>
    <w:rsid w:val="00273806"/>
    <w:rsid w:val="00290A19"/>
    <w:rsid w:val="002933D0"/>
    <w:rsid w:val="002A65DC"/>
    <w:rsid w:val="002B4B54"/>
    <w:rsid w:val="002C5CD9"/>
    <w:rsid w:val="00316B0B"/>
    <w:rsid w:val="0032292F"/>
    <w:rsid w:val="00323774"/>
    <w:rsid w:val="00324CD3"/>
    <w:rsid w:val="00335F60"/>
    <w:rsid w:val="00336F51"/>
    <w:rsid w:val="0034406B"/>
    <w:rsid w:val="0036171F"/>
    <w:rsid w:val="00362EBF"/>
    <w:rsid w:val="00365015"/>
    <w:rsid w:val="003661CE"/>
    <w:rsid w:val="00371C76"/>
    <w:rsid w:val="003A75F9"/>
    <w:rsid w:val="003B57C9"/>
    <w:rsid w:val="003D02EC"/>
    <w:rsid w:val="003D5440"/>
    <w:rsid w:val="003E5E50"/>
    <w:rsid w:val="003F6566"/>
    <w:rsid w:val="004062CF"/>
    <w:rsid w:val="00411796"/>
    <w:rsid w:val="004134B4"/>
    <w:rsid w:val="00441C4A"/>
    <w:rsid w:val="00451CC8"/>
    <w:rsid w:val="00452DD5"/>
    <w:rsid w:val="00456B1E"/>
    <w:rsid w:val="00496910"/>
    <w:rsid w:val="00497ED1"/>
    <w:rsid w:val="004A4827"/>
    <w:rsid w:val="004C1737"/>
    <w:rsid w:val="004C200B"/>
    <w:rsid w:val="00503A3B"/>
    <w:rsid w:val="00516687"/>
    <w:rsid w:val="00597FA8"/>
    <w:rsid w:val="005B1895"/>
    <w:rsid w:val="005B485A"/>
    <w:rsid w:val="005C0004"/>
    <w:rsid w:val="005C50FA"/>
    <w:rsid w:val="005E5E20"/>
    <w:rsid w:val="005F56DA"/>
    <w:rsid w:val="00604FCE"/>
    <w:rsid w:val="00610319"/>
    <w:rsid w:val="00663470"/>
    <w:rsid w:val="00664722"/>
    <w:rsid w:val="006748D0"/>
    <w:rsid w:val="00684DA4"/>
    <w:rsid w:val="00696013"/>
    <w:rsid w:val="006A5CEE"/>
    <w:rsid w:val="006B3D5B"/>
    <w:rsid w:val="006B4823"/>
    <w:rsid w:val="006B618C"/>
    <w:rsid w:val="006B6AAA"/>
    <w:rsid w:val="006D2CAB"/>
    <w:rsid w:val="006E7C10"/>
    <w:rsid w:val="006F7D97"/>
    <w:rsid w:val="00700246"/>
    <w:rsid w:val="00702960"/>
    <w:rsid w:val="007130CC"/>
    <w:rsid w:val="00726C04"/>
    <w:rsid w:val="007319F9"/>
    <w:rsid w:val="00733E77"/>
    <w:rsid w:val="007357B7"/>
    <w:rsid w:val="00743891"/>
    <w:rsid w:val="00751E8E"/>
    <w:rsid w:val="0076578C"/>
    <w:rsid w:val="007706A8"/>
    <w:rsid w:val="00772B60"/>
    <w:rsid w:val="00780093"/>
    <w:rsid w:val="00781971"/>
    <w:rsid w:val="007A2AAA"/>
    <w:rsid w:val="007A7F02"/>
    <w:rsid w:val="007C733C"/>
    <w:rsid w:val="007D41BA"/>
    <w:rsid w:val="007E3DDD"/>
    <w:rsid w:val="008154EC"/>
    <w:rsid w:val="008313C4"/>
    <w:rsid w:val="008434D5"/>
    <w:rsid w:val="00856375"/>
    <w:rsid w:val="00885B6D"/>
    <w:rsid w:val="00896AD0"/>
    <w:rsid w:val="00896FF1"/>
    <w:rsid w:val="008B2238"/>
    <w:rsid w:val="008C77D1"/>
    <w:rsid w:val="008F1244"/>
    <w:rsid w:val="0091131E"/>
    <w:rsid w:val="009144AF"/>
    <w:rsid w:val="0092068C"/>
    <w:rsid w:val="009308CD"/>
    <w:rsid w:val="00943441"/>
    <w:rsid w:val="009458AB"/>
    <w:rsid w:val="009644C9"/>
    <w:rsid w:val="00973495"/>
    <w:rsid w:val="00975B4D"/>
    <w:rsid w:val="009846FC"/>
    <w:rsid w:val="00984C0D"/>
    <w:rsid w:val="00985D7A"/>
    <w:rsid w:val="00986E20"/>
    <w:rsid w:val="00996E08"/>
    <w:rsid w:val="009B397F"/>
    <w:rsid w:val="009B4F6F"/>
    <w:rsid w:val="00A00D0B"/>
    <w:rsid w:val="00A2375C"/>
    <w:rsid w:val="00A26742"/>
    <w:rsid w:val="00A30EE6"/>
    <w:rsid w:val="00A310A5"/>
    <w:rsid w:val="00A322DA"/>
    <w:rsid w:val="00A35389"/>
    <w:rsid w:val="00A36A00"/>
    <w:rsid w:val="00A44FD2"/>
    <w:rsid w:val="00A53CDA"/>
    <w:rsid w:val="00A63F64"/>
    <w:rsid w:val="00A64221"/>
    <w:rsid w:val="00A6454D"/>
    <w:rsid w:val="00A67A7D"/>
    <w:rsid w:val="00AB3E36"/>
    <w:rsid w:val="00AC551C"/>
    <w:rsid w:val="00AE3ACC"/>
    <w:rsid w:val="00AF1129"/>
    <w:rsid w:val="00AF3FC3"/>
    <w:rsid w:val="00AF57B5"/>
    <w:rsid w:val="00B3132E"/>
    <w:rsid w:val="00B35C16"/>
    <w:rsid w:val="00B423F1"/>
    <w:rsid w:val="00B52B56"/>
    <w:rsid w:val="00B632C3"/>
    <w:rsid w:val="00B72095"/>
    <w:rsid w:val="00B802B6"/>
    <w:rsid w:val="00B96B69"/>
    <w:rsid w:val="00B971C7"/>
    <w:rsid w:val="00BA7F22"/>
    <w:rsid w:val="00BB153D"/>
    <w:rsid w:val="00BB6600"/>
    <w:rsid w:val="00BD5752"/>
    <w:rsid w:val="00BD7AEA"/>
    <w:rsid w:val="00BE2A66"/>
    <w:rsid w:val="00BF65DA"/>
    <w:rsid w:val="00C014E4"/>
    <w:rsid w:val="00C05A34"/>
    <w:rsid w:val="00C13248"/>
    <w:rsid w:val="00C1636E"/>
    <w:rsid w:val="00C27B1E"/>
    <w:rsid w:val="00C334D9"/>
    <w:rsid w:val="00C5375A"/>
    <w:rsid w:val="00C5512D"/>
    <w:rsid w:val="00C86AF9"/>
    <w:rsid w:val="00C96690"/>
    <w:rsid w:val="00C97098"/>
    <w:rsid w:val="00CA4563"/>
    <w:rsid w:val="00CA4B31"/>
    <w:rsid w:val="00CA56BA"/>
    <w:rsid w:val="00CB29C7"/>
    <w:rsid w:val="00CB3D06"/>
    <w:rsid w:val="00CB7B54"/>
    <w:rsid w:val="00CC2C73"/>
    <w:rsid w:val="00CF3F79"/>
    <w:rsid w:val="00D12F42"/>
    <w:rsid w:val="00D32BFC"/>
    <w:rsid w:val="00D45D40"/>
    <w:rsid w:val="00D5100C"/>
    <w:rsid w:val="00D5200E"/>
    <w:rsid w:val="00D624BE"/>
    <w:rsid w:val="00D6485F"/>
    <w:rsid w:val="00D927DF"/>
    <w:rsid w:val="00DD1843"/>
    <w:rsid w:val="00DE2BEA"/>
    <w:rsid w:val="00DE33F4"/>
    <w:rsid w:val="00DE7AEC"/>
    <w:rsid w:val="00E757F1"/>
    <w:rsid w:val="00E9648A"/>
    <w:rsid w:val="00EA5626"/>
    <w:rsid w:val="00EB0271"/>
    <w:rsid w:val="00EB28E8"/>
    <w:rsid w:val="00EE3FF1"/>
    <w:rsid w:val="00EE47D3"/>
    <w:rsid w:val="00EF51ED"/>
    <w:rsid w:val="00F07453"/>
    <w:rsid w:val="00F11029"/>
    <w:rsid w:val="00F17291"/>
    <w:rsid w:val="00F17ADE"/>
    <w:rsid w:val="00F23B6F"/>
    <w:rsid w:val="00F304D1"/>
    <w:rsid w:val="00F563CC"/>
    <w:rsid w:val="00F640D1"/>
    <w:rsid w:val="00F83883"/>
    <w:rsid w:val="00F85545"/>
    <w:rsid w:val="00F9153A"/>
    <w:rsid w:val="00FB22ED"/>
    <w:rsid w:val="00FE0B42"/>
    <w:rsid w:val="0BC45BA9"/>
    <w:rsid w:val="0F657030"/>
    <w:rsid w:val="195E346D"/>
    <w:rsid w:val="1B391A9C"/>
    <w:rsid w:val="1BE350C4"/>
    <w:rsid w:val="1FCF6E73"/>
    <w:rsid w:val="245C2DB5"/>
    <w:rsid w:val="2B1812EC"/>
    <w:rsid w:val="36533BBA"/>
    <w:rsid w:val="39A741B9"/>
    <w:rsid w:val="4D531031"/>
    <w:rsid w:val="5AB55ADD"/>
    <w:rsid w:val="5E0866A5"/>
    <w:rsid w:val="71EC2889"/>
    <w:rsid w:val="745B7F63"/>
    <w:rsid w:val="76916D63"/>
    <w:rsid w:val="7983281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weight="2.5pt" color="#3471B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lang w:val="en-US" w:eastAsia="zh-CN" w:bidi="ar-SA"/>
    </w:rPr>
  </w:style>
  <w:style w:type="paragraph" w:styleId="2">
    <w:name w:val="heading 1"/>
    <w:basedOn w:val="1"/>
    <w:next w:val="3"/>
    <w:link w:val="37"/>
    <w:qFormat/>
    <w:uiPriority w:val="9"/>
    <w:pPr>
      <w:spacing w:before="600" w:after="600" w:line="400" w:lineRule="exact"/>
      <w:jc w:val="center"/>
      <w:outlineLvl w:val="0"/>
    </w:pPr>
    <w:rPr>
      <w:rFonts w:eastAsia="黑体" w:cs="黑体"/>
      <w:sz w:val="30"/>
      <w:szCs w:val="30"/>
    </w:rPr>
  </w:style>
  <w:style w:type="paragraph" w:styleId="4">
    <w:name w:val="heading 2"/>
    <w:basedOn w:val="1"/>
    <w:next w:val="3"/>
    <w:link w:val="31"/>
    <w:qFormat/>
    <w:uiPriority w:val="99"/>
    <w:pPr>
      <w:keepNext/>
      <w:keepLines/>
      <w:numPr>
        <w:ilvl w:val="1"/>
        <w:numId w:val="1"/>
      </w:numPr>
      <w:spacing w:before="260" w:after="260" w:line="416" w:lineRule="auto"/>
      <w:outlineLvl w:val="1"/>
    </w:pPr>
    <w:rPr>
      <w:rFonts w:ascii="Cambria" w:hAnsi="Cambria"/>
      <w:b/>
      <w:sz w:val="32"/>
      <w:szCs w:val="20"/>
    </w:rPr>
  </w:style>
  <w:style w:type="paragraph" w:styleId="5">
    <w:name w:val="heading 3"/>
    <w:basedOn w:val="1"/>
    <w:next w:val="3"/>
    <w:link w:val="32"/>
    <w:qFormat/>
    <w:uiPriority w:val="99"/>
    <w:pPr>
      <w:keepNext/>
      <w:keepLines/>
      <w:spacing w:before="260" w:after="260" w:line="416" w:lineRule="auto"/>
      <w:outlineLvl w:val="2"/>
    </w:pPr>
    <w:rPr>
      <w:b/>
      <w:sz w:val="32"/>
      <w:szCs w:val="20"/>
    </w:rPr>
  </w:style>
  <w:style w:type="paragraph" w:styleId="6">
    <w:name w:val="heading 4"/>
    <w:basedOn w:val="1"/>
    <w:next w:val="3"/>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51"/>
    <w:qFormat/>
    <w:uiPriority w:val="0"/>
    <w:pPr>
      <w:spacing w:before="180" w:after="180"/>
    </w:pPr>
  </w:style>
  <w:style w:type="paragraph" w:styleId="7">
    <w:name w:val="toc 7"/>
    <w:basedOn w:val="8"/>
    <w:next w:val="8"/>
    <w:autoRedefine/>
    <w:unhideWhenUsed/>
    <w:qFormat/>
    <w:uiPriority w:val="39"/>
    <w:pPr>
      <w:ind w:left="1260"/>
      <w:jc w:val="left"/>
    </w:pPr>
    <w:rPr>
      <w:rFonts w:ascii="Calibri" w:hAnsi="Calibri"/>
      <w:sz w:val="18"/>
      <w:szCs w:val="18"/>
    </w:rPr>
  </w:style>
  <w:style w:type="paragraph" w:customStyle="1" w:styleId="8">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9">
    <w:name w:val="Document Map"/>
    <w:basedOn w:val="8"/>
    <w:link w:val="44"/>
    <w:semiHidden/>
    <w:unhideWhenUsed/>
    <w:qFormat/>
    <w:uiPriority w:val="99"/>
    <w:rPr>
      <w:sz w:val="24"/>
      <w:szCs w:val="24"/>
    </w:rPr>
  </w:style>
  <w:style w:type="paragraph" w:styleId="10">
    <w:name w:val="Block Text"/>
    <w:basedOn w:val="3"/>
    <w:next w:val="3"/>
    <w:unhideWhenUsed/>
    <w:qFormat/>
    <w:uiPriority w:val="9"/>
    <w:pPr>
      <w:spacing w:before="100" w:after="100"/>
      <w:ind w:left="480" w:right="480" w:firstLine="0"/>
    </w:pPr>
  </w:style>
  <w:style w:type="paragraph" w:styleId="11">
    <w:name w:val="toc 5"/>
    <w:basedOn w:val="8"/>
    <w:next w:val="8"/>
    <w:autoRedefine/>
    <w:unhideWhenUsed/>
    <w:qFormat/>
    <w:uiPriority w:val="39"/>
    <w:pPr>
      <w:ind w:left="840"/>
      <w:jc w:val="left"/>
    </w:pPr>
    <w:rPr>
      <w:rFonts w:ascii="Calibri" w:hAnsi="Calibri"/>
      <w:sz w:val="18"/>
      <w:szCs w:val="18"/>
    </w:rPr>
  </w:style>
  <w:style w:type="paragraph" w:styleId="12">
    <w:name w:val="toc 3"/>
    <w:basedOn w:val="8"/>
    <w:next w:val="8"/>
    <w:autoRedefine/>
    <w:qFormat/>
    <w:uiPriority w:val="39"/>
    <w:pPr>
      <w:ind w:left="420"/>
      <w:jc w:val="left"/>
    </w:pPr>
    <w:rPr>
      <w:rFonts w:ascii="Calibri" w:hAnsi="Calibri"/>
      <w:i/>
      <w:sz w:val="22"/>
    </w:rPr>
  </w:style>
  <w:style w:type="paragraph" w:styleId="13">
    <w:name w:val="toc 8"/>
    <w:basedOn w:val="8"/>
    <w:next w:val="8"/>
    <w:autoRedefine/>
    <w:unhideWhenUsed/>
    <w:qFormat/>
    <w:uiPriority w:val="39"/>
    <w:pPr>
      <w:ind w:left="1470"/>
      <w:jc w:val="left"/>
    </w:pPr>
    <w:rPr>
      <w:rFonts w:ascii="Calibri" w:hAnsi="Calibri"/>
      <w:sz w:val="18"/>
      <w:szCs w:val="18"/>
    </w:rPr>
  </w:style>
  <w:style w:type="paragraph" w:styleId="14">
    <w:name w:val="Balloon Text"/>
    <w:basedOn w:val="8"/>
    <w:link w:val="36"/>
    <w:semiHidden/>
    <w:unhideWhenUsed/>
    <w:qFormat/>
    <w:uiPriority w:val="99"/>
    <w:rPr>
      <w:sz w:val="18"/>
      <w:szCs w:val="18"/>
    </w:rPr>
  </w:style>
  <w:style w:type="paragraph" w:styleId="15">
    <w:name w:val="footer"/>
    <w:basedOn w:val="8"/>
    <w:link w:val="34"/>
    <w:qFormat/>
    <w:uiPriority w:val="99"/>
    <w:pPr>
      <w:tabs>
        <w:tab w:val="center" w:pos="4153"/>
        <w:tab w:val="right" w:pos="8306"/>
      </w:tabs>
      <w:snapToGrid w:val="0"/>
      <w:jc w:val="left"/>
    </w:pPr>
    <w:rPr>
      <w:sz w:val="18"/>
    </w:rPr>
  </w:style>
  <w:style w:type="paragraph" w:styleId="16">
    <w:name w:val="header"/>
    <w:basedOn w:val="8"/>
    <w:link w:val="3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8"/>
    <w:next w:val="8"/>
    <w:autoRedefine/>
    <w:qFormat/>
    <w:uiPriority w:val="39"/>
    <w:pPr>
      <w:tabs>
        <w:tab w:val="right" w:leader="dot" w:pos="8494"/>
      </w:tabs>
      <w:spacing w:line="400" w:lineRule="exact"/>
    </w:pPr>
    <w:rPr>
      <w:rFonts w:eastAsia="黑体"/>
      <w:caps/>
      <w:sz w:val="24"/>
      <w:szCs w:val="24"/>
    </w:rPr>
  </w:style>
  <w:style w:type="paragraph" w:styleId="18">
    <w:name w:val="toc 4"/>
    <w:basedOn w:val="8"/>
    <w:next w:val="8"/>
    <w:autoRedefine/>
    <w:unhideWhenUsed/>
    <w:qFormat/>
    <w:uiPriority w:val="39"/>
    <w:pPr>
      <w:ind w:left="630"/>
      <w:jc w:val="left"/>
    </w:pPr>
    <w:rPr>
      <w:rFonts w:ascii="Calibri" w:hAnsi="Calibri"/>
      <w:sz w:val="18"/>
      <w:szCs w:val="18"/>
    </w:rPr>
  </w:style>
  <w:style w:type="paragraph" w:styleId="19">
    <w:name w:val="toc 6"/>
    <w:basedOn w:val="8"/>
    <w:next w:val="8"/>
    <w:autoRedefine/>
    <w:unhideWhenUsed/>
    <w:qFormat/>
    <w:uiPriority w:val="39"/>
    <w:pPr>
      <w:ind w:left="1050"/>
      <w:jc w:val="left"/>
    </w:pPr>
    <w:rPr>
      <w:rFonts w:ascii="Calibri" w:hAnsi="Calibri"/>
      <w:sz w:val="18"/>
      <w:szCs w:val="18"/>
    </w:rPr>
  </w:style>
  <w:style w:type="paragraph" w:styleId="20">
    <w:name w:val="toc 2"/>
    <w:basedOn w:val="8"/>
    <w:next w:val="8"/>
    <w:autoRedefine/>
    <w:qFormat/>
    <w:uiPriority w:val="39"/>
    <w:pPr>
      <w:ind w:left="210"/>
      <w:jc w:val="left"/>
    </w:pPr>
    <w:rPr>
      <w:rFonts w:ascii="Calibri" w:hAnsi="Calibri"/>
      <w:smallCaps/>
      <w:sz w:val="22"/>
    </w:rPr>
  </w:style>
  <w:style w:type="paragraph" w:styleId="21">
    <w:name w:val="toc 9"/>
    <w:basedOn w:val="8"/>
    <w:next w:val="8"/>
    <w:autoRedefine/>
    <w:unhideWhenUsed/>
    <w:qFormat/>
    <w:uiPriority w:val="39"/>
    <w:pPr>
      <w:ind w:left="1680"/>
      <w:jc w:val="left"/>
    </w:pPr>
    <w:rPr>
      <w:rFonts w:ascii="Calibri" w:hAnsi="Calibri"/>
      <w:sz w:val="18"/>
      <w:szCs w:val="18"/>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25">
    <w:name w:val="Strong"/>
    <w:basedOn w:val="24"/>
    <w:qFormat/>
    <w:uiPriority w:val="22"/>
    <w:rPr>
      <w:b/>
    </w:rPr>
  </w:style>
  <w:style w:type="character" w:styleId="26">
    <w:name w:val="page number"/>
    <w:qFormat/>
    <w:uiPriority w:val="99"/>
    <w:rPr>
      <w:rFonts w:cs="Times New Roman"/>
    </w:rPr>
  </w:style>
  <w:style w:type="character" w:styleId="27">
    <w:name w:val="FollowedHyperlink"/>
    <w:semiHidden/>
    <w:unhideWhenUsed/>
    <w:qFormat/>
    <w:uiPriority w:val="99"/>
    <w:rPr>
      <w:color w:val="954F72"/>
      <w:u w:val="single"/>
    </w:rPr>
  </w:style>
  <w:style w:type="character" w:styleId="28">
    <w:name w:val="Emphasis"/>
    <w:basedOn w:val="24"/>
    <w:qFormat/>
    <w:uiPriority w:val="20"/>
    <w:rPr>
      <w:i/>
    </w:rPr>
  </w:style>
  <w:style w:type="character" w:styleId="29">
    <w:name w:val="Hyperlink"/>
    <w:qFormat/>
    <w:uiPriority w:val="99"/>
    <w:rPr>
      <w:rFonts w:cs="Times New Roman"/>
      <w:color w:val="0563C1"/>
      <w:u w:val="single"/>
    </w:rPr>
  </w:style>
  <w:style w:type="character" w:styleId="30">
    <w:name w:val="HTML Code"/>
    <w:basedOn w:val="24"/>
    <w:semiHidden/>
    <w:unhideWhenUsed/>
    <w:qFormat/>
    <w:uiPriority w:val="99"/>
    <w:rPr>
      <w:rFonts w:ascii="Courier New" w:hAnsi="Courier New"/>
      <w:sz w:val="20"/>
    </w:rPr>
  </w:style>
  <w:style w:type="character" w:customStyle="1" w:styleId="31">
    <w:name w:val="标题 2 字符"/>
    <w:link w:val="4"/>
    <w:qFormat/>
    <w:uiPriority w:val="99"/>
    <w:rPr>
      <w:rFonts w:ascii="Cambria" w:hAnsi="Cambria" w:eastAsia="宋体" w:cs="Times New Roman"/>
      <w:b/>
      <w:sz w:val="32"/>
      <w:szCs w:val="20"/>
    </w:rPr>
  </w:style>
  <w:style w:type="character" w:customStyle="1" w:styleId="32">
    <w:name w:val="标题 3 字符"/>
    <w:link w:val="5"/>
    <w:qFormat/>
    <w:uiPriority w:val="99"/>
    <w:rPr>
      <w:rFonts w:ascii="Times New Roman" w:hAnsi="Times New Roman" w:eastAsia="宋体" w:cs="Times New Roman"/>
      <w:b/>
      <w:sz w:val="32"/>
      <w:szCs w:val="20"/>
    </w:rPr>
  </w:style>
  <w:style w:type="character" w:customStyle="1" w:styleId="33">
    <w:name w:val="页眉 字符"/>
    <w:link w:val="16"/>
    <w:qFormat/>
    <w:uiPriority w:val="99"/>
    <w:rPr>
      <w:rFonts w:ascii="Times New Roman" w:hAnsi="Times New Roman" w:eastAsia="宋体" w:cs="Times New Roman"/>
      <w:sz w:val="18"/>
      <w:szCs w:val="22"/>
    </w:rPr>
  </w:style>
  <w:style w:type="character" w:customStyle="1" w:styleId="34">
    <w:name w:val="页脚 字符"/>
    <w:link w:val="15"/>
    <w:qFormat/>
    <w:uiPriority w:val="99"/>
    <w:rPr>
      <w:rFonts w:ascii="Times New Roman" w:hAnsi="Times New Roman" w:eastAsia="宋体" w:cs="Times New Roman"/>
      <w:sz w:val="18"/>
      <w:szCs w:val="22"/>
    </w:rPr>
  </w:style>
  <w:style w:type="paragraph" w:styleId="35">
    <w:name w:val="List Paragraph"/>
    <w:basedOn w:val="8"/>
    <w:qFormat/>
    <w:uiPriority w:val="34"/>
    <w:pPr>
      <w:ind w:firstLine="420" w:firstLineChars="200"/>
    </w:pPr>
    <w:rPr>
      <w:szCs w:val="24"/>
    </w:rPr>
  </w:style>
  <w:style w:type="character" w:customStyle="1" w:styleId="36">
    <w:name w:val="批注框文本 字符"/>
    <w:link w:val="14"/>
    <w:semiHidden/>
    <w:qFormat/>
    <w:uiPriority w:val="99"/>
    <w:rPr>
      <w:rFonts w:ascii="Times New Roman" w:hAnsi="Times New Roman" w:eastAsia="宋体" w:cs="Times New Roman"/>
      <w:sz w:val="18"/>
      <w:szCs w:val="18"/>
    </w:rPr>
  </w:style>
  <w:style w:type="character" w:customStyle="1" w:styleId="37">
    <w:name w:val="标题 1 字符"/>
    <w:link w:val="2"/>
    <w:qFormat/>
    <w:uiPriority w:val="9"/>
    <w:rPr>
      <w:rFonts w:ascii="Times New Roman" w:hAnsi="Times New Roman" w:eastAsia="黑体" w:cs="黑体"/>
      <w:kern w:val="2"/>
      <w:sz w:val="30"/>
      <w:szCs w:val="30"/>
    </w:rPr>
  </w:style>
  <w:style w:type="paragraph" w:customStyle="1" w:styleId="38">
    <w:name w:val="标题2"/>
    <w:basedOn w:val="4"/>
    <w:next w:val="8"/>
    <w:autoRedefine/>
    <w:qFormat/>
    <w:uiPriority w:val="0"/>
    <w:pPr>
      <w:numPr>
        <w:numId w:val="2"/>
      </w:numPr>
      <w:spacing w:before="360" w:after="360" w:line="400" w:lineRule="exact"/>
    </w:pPr>
    <w:rPr>
      <w:rFonts w:ascii="Heiti SC Medium" w:eastAsia="Heiti SC Medium"/>
      <w:b w:val="0"/>
      <w:bCs/>
      <w:sz w:val="28"/>
    </w:rPr>
  </w:style>
  <w:style w:type="paragraph" w:customStyle="1" w:styleId="39">
    <w:name w:val="标题1"/>
    <w:basedOn w:val="2"/>
    <w:autoRedefine/>
    <w:qFormat/>
    <w:uiPriority w:val="0"/>
  </w:style>
  <w:style w:type="paragraph" w:customStyle="1" w:styleId="40">
    <w:name w:val="样式1"/>
    <w:basedOn w:val="16"/>
    <w:autoRedefine/>
    <w:qFormat/>
    <w:uiPriority w:val="0"/>
    <w:pPr>
      <w:jc w:val="center"/>
    </w:pPr>
  </w:style>
  <w:style w:type="paragraph" w:customStyle="1" w:styleId="41">
    <w:name w:val="正文1"/>
    <w:basedOn w:val="8"/>
    <w:qFormat/>
    <w:uiPriority w:val="0"/>
    <w:pPr>
      <w:spacing w:line="400" w:lineRule="exact"/>
      <w:jc w:val="left"/>
    </w:pPr>
    <w:rPr>
      <w:sz w:val="24"/>
      <w:szCs w:val="24"/>
    </w:rPr>
  </w:style>
  <w:style w:type="paragraph" w:customStyle="1" w:styleId="42">
    <w:name w:val="目录－标题2"/>
    <w:basedOn w:val="20"/>
    <w:qFormat/>
    <w:uiPriority w:val="0"/>
    <w:pPr>
      <w:tabs>
        <w:tab w:val="left" w:pos="1200"/>
        <w:tab w:val="right" w:leader="dot" w:pos="8494"/>
      </w:tabs>
      <w:ind w:left="420"/>
    </w:pPr>
    <w:rPr>
      <w:szCs w:val="28"/>
    </w:rPr>
  </w:style>
  <w:style w:type="paragraph" w:customStyle="1" w:styleId="43">
    <w:name w:val="标题22"/>
    <w:basedOn w:val="4"/>
    <w:qFormat/>
    <w:uiPriority w:val="0"/>
    <w:pPr>
      <w:keepNext w:val="0"/>
      <w:keepLines w:val="0"/>
      <w:numPr>
        <w:ilvl w:val="0"/>
        <w:numId w:val="0"/>
      </w:numPr>
      <w:spacing w:before="360" w:after="360" w:line="400" w:lineRule="exact"/>
      <w:ind w:left="785" w:hanging="360"/>
    </w:pPr>
    <w:rPr>
      <w:rFonts w:ascii="Times New Roman" w:hAnsi="Times New Roman" w:eastAsia="黑体"/>
      <w:b w:val="0"/>
      <w:sz w:val="28"/>
      <w:szCs w:val="28"/>
    </w:rPr>
  </w:style>
  <w:style w:type="character" w:customStyle="1" w:styleId="44">
    <w:name w:val="文档结构图 字符"/>
    <w:link w:val="9"/>
    <w:semiHidden/>
    <w:qFormat/>
    <w:uiPriority w:val="99"/>
    <w:rPr>
      <w:rFonts w:ascii="Times New Roman" w:hAnsi="Times New Roman"/>
      <w:kern w:val="2"/>
      <w:sz w:val="24"/>
      <w:szCs w:val="24"/>
    </w:rPr>
  </w:style>
  <w:style w:type="character" w:customStyle="1" w:styleId="45">
    <w:name w:val="111111111111 Char"/>
    <w:link w:val="46"/>
    <w:qFormat/>
    <w:uiPriority w:val="0"/>
    <w:rPr>
      <w:rFonts w:ascii="Times New Roman" w:hAnsi="Times New Roman" w:eastAsia="黑体" w:cs="黑体"/>
      <w:sz w:val="30"/>
      <w:szCs w:val="30"/>
    </w:rPr>
  </w:style>
  <w:style w:type="paragraph" w:customStyle="1" w:styleId="46">
    <w:name w:val="111111111111"/>
    <w:basedOn w:val="8"/>
    <w:link w:val="45"/>
    <w:qFormat/>
    <w:uiPriority w:val="0"/>
    <w:pPr>
      <w:spacing w:before="600" w:after="600" w:line="400" w:lineRule="exact"/>
      <w:jc w:val="center"/>
      <w:outlineLvl w:val="0"/>
    </w:pPr>
    <w:rPr>
      <w:rFonts w:eastAsia="黑体" w:cs="黑体"/>
      <w:kern w:val="0"/>
      <w:sz w:val="30"/>
      <w:szCs w:val="30"/>
    </w:rPr>
  </w:style>
  <w:style w:type="paragraph" w:customStyle="1" w:styleId="47">
    <w:name w:val="First Paragraph"/>
    <w:basedOn w:val="3"/>
    <w:next w:val="3"/>
    <w:qFormat/>
    <w:uiPriority w:val="0"/>
  </w:style>
  <w:style w:type="paragraph" w:customStyle="1" w:styleId="48">
    <w:name w:val="Compact"/>
    <w:basedOn w:val="3"/>
    <w:qFormat/>
    <w:uiPriority w:val="0"/>
    <w:pPr>
      <w:spacing w:before="36" w:after="36"/>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0">
    <w:name w:val="Verbatim Char"/>
    <w:basedOn w:val="51"/>
    <w:link w:val="52"/>
    <w:qFormat/>
    <w:uiPriority w:val="0"/>
  </w:style>
  <w:style w:type="character" w:customStyle="1" w:styleId="51">
    <w:name w:val="Body Text Char"/>
    <w:basedOn w:val="24"/>
    <w:link w:val="3"/>
    <w:qFormat/>
    <w:uiPriority w:val="0"/>
  </w:style>
  <w:style w:type="paragraph" w:customStyle="1" w:styleId="52">
    <w:name w:val="Source Code"/>
    <w:basedOn w:val="1"/>
    <w:link w:val="50"/>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emf"/><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87E7C2-CCA8-5A45-B190-3B449DD91864}">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51</Pages>
  <Words>2634</Words>
  <Characters>2945</Characters>
  <Lines>6</Lines>
  <Paragraphs>1</Paragraphs>
  <TotalTime>2</TotalTime>
  <ScaleCrop>false</ScaleCrop>
  <LinksUpToDate>false</LinksUpToDate>
  <CharactersWithSpaces>3026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2016-12-14T11:24:00Z</dcterms:created>
  <dc:creator>Microsoft Office 用户</dc:creator>
  <cp:lastModifiedBy>微信用户</cp:lastModifiedBy>
  <dcterms:modified xsi:type="dcterms:W3CDTF">2026-01-10T06:55:41Z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eyJoZGlkIjoiNjkzN2I2N2QxYzNlYjFhOWEzYzc1YTRlOGFiZWM4YmEiLCJ1c2VySWQiOiIxMjExODYwOTU3In0=</vt:lpwstr>
  </property>
  <property fmtid="{D5CDD505-2E9C-101B-9397-08002B2CF9AE}" pid="3" name="KSOProductBuildVer">
    <vt:lpwstr>2052-12.1.0.22529</vt:lpwstr>
  </property>
  <property fmtid="{D5CDD505-2E9C-101B-9397-08002B2CF9AE}" pid="4" name="ICV">
    <vt:lpwstr>2C9B47D07376494EAC8E4B5C941C1092_12</vt:lpwstr>
  </property>
</Properties>
</file>