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LUBEGA RICHARD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1992-03-03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 xml:space="preserve"> General Construction Contractors e.g. Building/Construction Companies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160938.15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LUBEGA RICHARD was a 32-year-old youth resident of {{address}} and belonged to {{group}}. By the time the client took the loan, he operated a  General Construction Contractors e.g. Building/Construction Companies,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