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NAMUTEBI BRIDGET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1991-09-22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1200000.00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1200000.00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Land (Road &amp; Rail) Transport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10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583951.99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NAMUTEBI BRIDGET was a 33-year-old youth resident of {{address}} and belonged to {{group}}. By the time the client took the loan, he operated a Land (Road &amp; Rail) Transport,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1200000.00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