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NANUNGI BABRA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1992-08-04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1500000.00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1500000.00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Other Mining &amp; Quarrying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418927.86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NANUNGI BABRA was a 32-year-old youth resident of {{address}} and belonged to {{group}}. By the time the client took the loan, he operated a Other Mining &amp; Quarrying,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1500000.00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251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