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RITAH NAMAZZI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1994-04-04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F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Retail Trade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1934651.31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RITAH NAMAZZI was a 30-year-old youth resident of {{address}} and belonged to {{group}}. By the time the client took the loan, he operated a Retail Trade,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251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