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SSEBYATIKA WILBER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1996-12-20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4000000.00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4000000.00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1898823.60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SSEBYATIKA WILBER was a 27-year-old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4000000.00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229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