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독일 보이텔스바흐 합의 · 한국어 해설 및 경기형 산출물 샘플</w:t>
      </w:r>
    </w:p>
    <w:p>
      <w:r>
        <w:t>2026.10.06 | 교육청 협의용 제안. 독일 사례 해설과 우리가 제안하는 산출물 규격을 구분함.</w:t>
      </w:r>
    </w:p>
    <w:p>
      <w:pPr>
        <w:pStyle w:val="Heading1"/>
      </w:pPr>
      <w:r>
        <w:t>1. 독일 사례: 한국어 번역 요약</w:t>
      </w:r>
    </w:p>
    <w:p>
      <w:r>
        <w:t>전문 번역을 새로 복제하는 대신 독일 정치교육원이 공개한 한국어 전문 번역본을 아래에 안내하고, 독일 원문의 세 원칙을 한국어로 요약했다. 아래 문장은 공식 번역문이 아닌 업무용 번역 요약이다.</w:t>
      </w:r>
    </w:p>
    <w:p>
      <w:pPr>
        <w:pStyle w:val="Heading2"/>
      </w:pPr>
      <w:r>
        <w:t>강압 금지</w:t>
      </w:r>
    </w:p>
    <w:p>
      <w:r>
        <w:t>교육자는 특정 견해를 받아들이도록 학생을 몰아붙이지 않으며, 학생이 스스로 판단할 기회를 보장한다.</w:t>
      </w:r>
    </w:p>
    <w:p>
      <w:pPr>
        <w:pStyle w:val="Heading2"/>
      </w:pPr>
      <w:r>
        <w:t>논쟁성 보장</w:t>
      </w:r>
    </w:p>
    <w:p>
      <w:r>
        <w:t>학문과 정치에서 다투는 사안은 수업에서도 다양한 관점과 대안을 비교할 수 있게 다룬다.</w:t>
      </w:r>
    </w:p>
    <w:p>
      <w:pPr>
        <w:pStyle w:val="Heading2"/>
      </w:pPr>
      <w:r>
        <w:t>학생의 판단·행동 역량</w:t>
      </w:r>
    </w:p>
    <w:p>
      <w:r>
        <w:t>학생이 정치적 상황과 자신의 이해관계를 분석하고, 상황에 영향을 미칠 방법을 탐색하도록 돕는다.</w:t>
      </w:r>
    </w:p>
    <w:p>
      <w:r>
        <w:t>독일 사례는 1976년 전문가 토론에서 공통점을 정리한 교육 원칙이다. 당일 표결로 제정된 협약으로 설명하면 부정확하다. 경기형 두 단계 구조는 제공받은 교육청 계획에 따른 별도의 설계다.</w:t>
      </w:r>
    </w:p>
    <w:p>
      <w:pPr>
        <w:pStyle w:val="Heading1"/>
      </w:pPr>
      <w:r>
        <w:t>2. 1·2차의 의미성: 협의 제안</w:t>
      </w:r>
    </w:p>
    <w:p>
      <w:r>
        <w:t>1차: 전문가가 수업 사례와 근거를 검토하여 권고 초안을 만든다. 산출물은 원칙 후보, 실천 기준 후보, 쟁점 및 미합의 사항이다.</w:t>
      </w:r>
    </w:p>
    <w:p>
      <w:r>
        <w:t>2차: 학생·보호자·교직원이 초안의 이해 가능성과 적용 가능성을 검토하고 수정·보완한다. 산출물은 교육공동체의 수정 의견이 반영된 권고문과 적용 과제다.</w:t>
      </w:r>
    </w:p>
    <w:p>
      <w:r>
        <w:t>회차 간 편집 과정에서 어떤 의견이 문장에 반영되었는지 기록한다. 우선순위 투표 결과와 원칙 채택 여부는 별도로 다룬다.</w:t>
      </w:r>
    </w:p>
    <w:p>
      <w:pPr>
        <w:pStyle w:val="Heading1"/>
      </w:pPr>
      <w:r>
        <w:t>3. 산출물 규격 샘플: 제안, 미확정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산출물</w:t>
            </w:r>
          </w:p>
        </w:tc>
        <w:tc>
          <w:tcPr>
            <w:tcW w:type="dxa" w:w="2880"/>
          </w:tcPr>
          <w:p>
            <w:r>
              <w:t>권장 규격</w:t>
            </w:r>
          </w:p>
        </w:tc>
        <w:tc>
          <w:tcPr>
            <w:tcW w:type="dxa" w:w="2880"/>
          </w:tcPr>
          <w:p>
            <w:r>
              <w:t>포함 내용</w:t>
            </w:r>
          </w:p>
        </w:tc>
      </w:tr>
      <w:tr>
        <w:tc>
          <w:tcPr>
            <w:tcW w:type="dxa" w:w="2880"/>
          </w:tcPr>
          <w:p>
            <w:r>
              <w:t>경기형 권고문</w:t>
            </w:r>
          </w:p>
        </w:tc>
        <w:tc>
          <w:tcPr>
            <w:tcW w:type="dxa" w:w="2880"/>
          </w:tcPr>
          <w:p>
            <w:r>
              <w:t>A4 2~4쪽 · 편집본 및 PDF</w:t>
            </w:r>
          </w:p>
        </w:tc>
        <w:tc>
          <w:tcPr>
            <w:tcW w:type="dxa" w:w="2880"/>
          </w:tcPr>
          <w:p>
            <w:r>
              <w:t>목적·적용 대상·원칙·주체별 실천 기준·채택/유보 사항</w:t>
            </w:r>
          </w:p>
        </w:tc>
      </w:tr>
      <w:tr>
        <w:tc>
          <w:tcPr>
            <w:tcW w:type="dxa" w:w="2880"/>
          </w:tcPr>
          <w:p>
            <w:r>
              <w:t>실천 기준 카드</w:t>
            </w:r>
          </w:p>
        </w:tc>
        <w:tc>
          <w:tcPr>
            <w:tcW w:type="dxa" w:w="2880"/>
          </w:tcPr>
          <w:p>
            <w:r>
              <w:t>원칙별 A4 1쪽</w:t>
            </w:r>
          </w:p>
        </w:tc>
        <w:tc>
          <w:tcPr>
            <w:tcW w:type="dxa" w:w="2880"/>
          </w:tcPr>
          <w:p>
            <w:r>
              <w:t>원칙 문장·교사/학생/학교 행동·현장 사례·점검 질문·지원 요청</w:t>
            </w:r>
          </w:p>
        </w:tc>
      </w:tr>
      <w:tr>
        <w:tc>
          <w:tcPr>
            <w:tcW w:type="dxa" w:w="2880"/>
          </w:tcPr>
          <w:p>
            <w:r>
              <w:t>숙의 근거 부록</w:t>
            </w:r>
          </w:p>
        </w:tc>
        <w:tc>
          <w:tcPr>
            <w:tcW w:type="dxa" w:w="2880"/>
          </w:tcPr>
          <w:p>
            <w:r>
              <w:t>분량 협의 · 표 형태</w:t>
            </w:r>
          </w:p>
        </w:tc>
        <w:tc>
          <w:tcPr>
            <w:tcW w:type="dxa" w:w="2880"/>
          </w:tcPr>
          <w:p>
            <w:r>
              <w:t>의견 출처·문장 반영 이력·집단별 공감도·이견·응답 수</w:t>
            </w:r>
          </w:p>
        </w:tc>
      </w:tr>
      <w:tr>
        <w:tc>
          <w:tcPr>
            <w:tcW w:type="dxa" w:w="2880"/>
          </w:tcPr>
          <w:p>
            <w:r>
              <w:t>회차별 결과보고서</w:t>
            </w:r>
          </w:p>
        </w:tc>
        <w:tc>
          <w:tcPr>
            <w:tcW w:type="dxa" w:w="2880"/>
          </w:tcPr>
          <w:p>
            <w:r>
              <w:t>분량 및 제출일 협의</w:t>
            </w:r>
          </w:p>
        </w:tc>
        <w:tc>
          <w:tcPr>
            <w:tcW w:type="dxa" w:w="2880"/>
          </w:tcPr>
          <w:p>
            <w:r>
              <w:t>참여 구성·토론 과정·결과·다음 회차 반영 사항</w:t>
            </w:r>
          </w:p>
        </w:tc>
      </w:tr>
    </w:tbl>
    <w:p>
      <w:pPr>
        <w:pStyle w:val="Heading1"/>
      </w:pPr>
      <w:r>
        <w:t>4. 실천 기준 카드 예시: 토론용 후보 문안</w:t>
      </w:r>
    </w:p>
    <w:p>
      <w:r>
        <w:t>원칙 후보: 학생의 독립적인 판단을 보장한다.</w:t>
      </w:r>
    </w:p>
    <w:p>
      <w:r>
        <w:t>교사: 근거와 비교 가능한 자료를 제공하고, 특정 결론에 대한 동의를 성적 평가 기준으로 삼지 않는다.</w:t>
      </w:r>
    </w:p>
    <w:p>
      <w:r>
        <w:t>학생: 자신의 견해에 근거를 제시하고 다른 관점에 질문할 수 있다.</w:t>
      </w:r>
    </w:p>
    <w:p>
      <w:r>
        <w:t>학교: 논쟁적 수업에 대한 문의가 발생하면 수업 자료와 진행 과정을 확인할 협의 절차를 마련한다.</w:t>
      </w:r>
    </w:p>
    <w:p>
      <w:r>
        <w:t>점검 질문: 반대·유보 의견도 불이익 우려 없이 표현할 수 있었는가?</w:t>
      </w:r>
    </w:p>
    <w:p>
      <w:r>
        <w:t>지원 과제: 문의 대응 안내와 수업자료 검토 창구의 필요성을 확인한다.</w:t>
      </w:r>
    </w:p>
    <w:p>
      <w:r>
        <w:t>위 예시는 우리 제안이며 독일 원문 번역이나 교육청 확정안이 아니다.</w:t>
      </w:r>
    </w:p>
    <w:p>
      <w:pPr>
        <w:pStyle w:val="Heading1"/>
      </w:pPr>
      <w:r>
        <w:t>5. 권고문 전달 이후 결정할 사항</w:t>
      </w:r>
    </w:p>
    <w:p>
      <w:r>
        <w:t>권고문을 먼저 전달하고 교육청이 가이드로 활용할지, 조례화를 추가 검토할지 협의한다. 이번 납품에서 법제화 문안까지 요구하는지 분리해 확인한다. 조례의 적합성 및 법적 효력은 이 자료에서 판단하지 않는다.</w:t>
      </w:r>
    </w:p>
    <w:p>
      <w:pPr>
        <w:pStyle w:val="Heading1"/>
      </w:pPr>
      <w:r>
        <w:t>출처·한국어 전문 번역본</w:t>
      </w:r>
    </w:p>
    <w:p>
      <w:r>
        <w:t>독일 연방정치교육원 원문: https://www.bpb.de/die-bpb/ueber-uns/auftrag/51310/beutelsbacher-konsens/</w:t>
      </w:r>
    </w:p>
    <w:p>
      <w:r>
        <w:t>독일 연방정치교육원 성립 경위: https://www.bpb.de/lernen/inklusiv-politisch-bilden/505269/der-beutelsbacher-konsens/</w:t>
      </w:r>
    </w:p>
    <w:p>
      <w:r>
        <w:t>독일 바덴뷔르템베르크주 정치교육원 공개 한국어 전문 번역본(PDF): https://test.lpb-bw.de/fileadmin/lpb_hauptportal/pdf/Beutelsbacher_Konsens_koreanisch.pdf</w:t>
      </w:r>
    </w:p>
    <w:p>
      <w:r>
        <w:t>경기형 사업 근거: 사용자 제공 「2026 경기형 보이텔스바흐 합의 제정을 위한 100인 원탁토의 운영 계획(안)」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