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5D2" w:rsidRPr="00DE5C36" w:rsidRDefault="009415D2" w:rsidP="00F92917">
      <w:pPr>
        <w:pStyle w:val="DataField11pt-Single"/>
        <w:spacing w:before="120"/>
        <w:rPr>
          <w:b/>
          <w:szCs w:val="22"/>
        </w:rPr>
      </w:pPr>
      <w:r w:rsidRPr="00DE5C36">
        <w:rPr>
          <w:b/>
          <w:szCs w:val="22"/>
        </w:rPr>
        <w:t>5. Research Design and Methods (12 pages maximum; separate PDF attachment)</w:t>
      </w:r>
    </w:p>
    <w:p w:rsidR="009415D2" w:rsidRPr="00DE5C36" w:rsidRDefault="009415D2" w:rsidP="00F92917">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06-HG-101</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F92917">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F92917">
      <w:pPr>
        <w:pStyle w:val="NormalWeb"/>
        <w:spacing w:before="120" w:beforeAutospacing="0" w:after="0" w:after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5D48FB" w:rsidRPr="00DE5C36">
        <w:rPr>
          <w:rFonts w:ascii="Arial" w:hAnsi="Arial" w:cs="Arial"/>
          <w:sz w:val="22"/>
          <w:szCs w:val="22"/>
        </w:rPr>
        <w:fldChar w:fldCharType="separate"/>
      </w:r>
      <w:r w:rsidR="00914B31">
        <w:rPr>
          <w:rFonts w:ascii="Arial" w:hAnsi="Arial" w:cs="Arial"/>
          <w:sz w:val="22"/>
          <w:szCs w:val="22"/>
        </w:rPr>
        <w:t>(1)</w:t>
      </w:r>
      <w:r w:rsidR="005D48FB"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w:t>
      </w:r>
      <w:r w:rsidR="00867FBF">
        <w:rPr>
          <w:rFonts w:ascii="Arial" w:hAnsi="Arial" w:cs="Arial"/>
          <w:b/>
          <w:sz w:val="22"/>
          <w:szCs w:val="22"/>
        </w:rPr>
        <w:t xml:space="preserve">by </w:t>
      </w:r>
      <w:r w:rsidR="00867FBF" w:rsidRPr="00867FBF">
        <w:rPr>
          <w:rFonts w:ascii="Arial" w:hAnsi="Arial" w:cs="Arial"/>
          <w:b/>
          <w:sz w:val="22"/>
          <w:szCs w:val="22"/>
        </w:rPr>
        <w:t>advances in high-throughput analysis, strategies for mitigating systemic bias, and new sequence assembly and downstream analysis pipelines.</w:t>
      </w:r>
    </w:p>
    <w:p w:rsidR="002F6152" w:rsidRPr="00DE5C36" w:rsidRDefault="00AA64B9" w:rsidP="00F92917">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D66EA6" w:rsidRDefault="00712657" w:rsidP="00F92917">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Roche/454 </w:t>
      </w:r>
      <w:r w:rsidR="00914B31">
        <w:rPr>
          <w:rFonts w:ascii="Arial" w:hAnsi="Arial" w:cs="Arial"/>
          <w:sz w:val="22"/>
          <w:szCs w:val="22"/>
        </w:rPr>
        <w:t>a</w:t>
      </w:r>
      <w:r w:rsidR="00D1491E" w:rsidRPr="00DE5C36">
        <w:rPr>
          <w:rFonts w:ascii="Arial" w:hAnsi="Arial" w:cs="Arial"/>
          <w:sz w:val="22"/>
          <w:szCs w:val="22"/>
        </w:rPr>
        <w:t>nd ABI/SOLiD</w:t>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D66EA6" w:rsidRDefault="005935AA" w:rsidP="00F92917">
      <w:pPr>
        <w:spacing w:before="12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D66EA6" w:rsidRPr="00DE5C36" w:rsidRDefault="00D66EA6" w:rsidP="00F92917">
      <w:pPr>
        <w:pStyle w:val="NormalWeb"/>
        <w:spacing w:before="120" w:beforeAutospacing="0" w:after="0" w:afterAutospacing="0"/>
        <w:rPr>
          <w:rFonts w:ascii="Arial" w:hAnsi="Arial" w:cs="Arial"/>
          <w:sz w:val="22"/>
          <w:szCs w:val="22"/>
        </w:rPr>
      </w:pPr>
      <w:r w:rsidRPr="00DE5C36">
        <w:rPr>
          <w:rFonts w:ascii="Arial" w:hAnsi="Arial" w:cs="Arial"/>
          <w:sz w:val="22"/>
          <w:szCs w:val="22"/>
        </w:rPr>
        <w:t>The currently available bioinformatics tools fall into four categories: reference aligners, de novo assemblers, variant-discovery tools and alignment viewers. Among the reference aligners are Eland (GAPipeline v0.30, Illumina), Mira, Genomics Workbench (CLC Bio), Seqman NGen (DNAStar), NextGene (Soft Genetics), MAQ and Shrimp. De novo assemblers include Edina</w:t>
      </w:r>
      <w:r w:rsidR="0091365F">
        <w:rPr>
          <w:rFonts w:ascii="Arial" w:hAnsi="Arial" w:cs="Arial"/>
          <w:sz w:val="22"/>
          <w:szCs w:val="22"/>
        </w:rPr>
        <w:t>,</w:t>
      </w:r>
      <w:r w:rsidRPr="00DE5C36">
        <w:rPr>
          <w:rFonts w:ascii="Arial" w:hAnsi="Arial" w:cs="Arial"/>
          <w:sz w:val="22"/>
          <w:szCs w:val="22"/>
        </w:rPr>
        <w:t xml:space="preserve"> EULER-SR, SHARCGS, SSAKE,</w:t>
      </w:r>
      <w:r w:rsidRPr="00DE5C36">
        <w:rPr>
          <w:rFonts w:ascii="Arial" w:hAnsi="Arial" w:cs="Arial"/>
          <w:sz w:val="22"/>
          <w:szCs w:val="22"/>
          <w:vertAlign w:val="superscript"/>
        </w:rPr>
        <w:t xml:space="preserve"> </w:t>
      </w:r>
      <w:r w:rsidRPr="00DE5C36">
        <w:rPr>
          <w:rFonts w:ascii="Arial" w:hAnsi="Arial" w:cs="Arial"/>
          <w:sz w:val="22"/>
          <w:szCs w:val="22"/>
        </w:rPr>
        <w:t xml:space="preserve">Velvet, and SOAPdenovo. Some NextGen statistical data-analysis tools are also available, such as JMP Genomics. </w:t>
      </w:r>
      <w:r w:rsidRPr="00315885">
        <w:rPr>
          <w:rFonts w:ascii="Arial" w:hAnsi="Arial" w:cs="Arial"/>
          <w:b/>
          <w:sz w:val="22"/>
          <w:szCs w:val="22"/>
        </w:rPr>
        <w:t>Despite the growing number of NextGen assembly/alignment tools, obtaining an accurately assembled sequence contig is still a very challenging problem.</w:t>
      </w:r>
      <w:r w:rsidRPr="00DE5C36">
        <w:rPr>
          <w:rFonts w:ascii="Arial" w:hAnsi="Arial" w:cs="Arial"/>
          <w:sz w:val="22"/>
          <w:szCs w:val="22"/>
        </w:rPr>
        <w:t xml:space="preserve"> The current tools vary widely in terms of data volume capacity (e.g., bacterial versus human data sets), number of reads aligned/assembled, error rates and bias, all of which may lead to suboptimal assemblies. Moreover, little is known about the comparative performance of the available tools because the </w:t>
      </w:r>
      <w:r>
        <w:rPr>
          <w:rFonts w:ascii="Arial" w:hAnsi="Arial" w:cs="Arial"/>
          <w:sz w:val="22"/>
          <w:szCs w:val="22"/>
        </w:rPr>
        <w:t>few</w:t>
      </w:r>
      <w:r w:rsidRPr="00DE5C36">
        <w:rPr>
          <w:rFonts w:ascii="Arial" w:hAnsi="Arial" w:cs="Arial"/>
          <w:sz w:val="22"/>
          <w:szCs w:val="22"/>
        </w:rPr>
        <w:t xml:space="preserve"> available performance statistics are based mainly on </w:t>
      </w:r>
      <w:r>
        <w:rPr>
          <w:rFonts w:ascii="Arial" w:hAnsi="Arial" w:cs="Arial"/>
          <w:sz w:val="22"/>
          <w:szCs w:val="22"/>
        </w:rPr>
        <w:t xml:space="preserve">results from </w:t>
      </w:r>
      <w:r w:rsidRPr="00DE5C36">
        <w:rPr>
          <w:rFonts w:ascii="Arial" w:hAnsi="Arial" w:cs="Arial"/>
          <w:sz w:val="22"/>
          <w:szCs w:val="22"/>
        </w:rPr>
        <w:t xml:space="preserve">different non-human </w:t>
      </w:r>
      <w:r w:rsidRPr="00DE5C36">
        <w:rPr>
          <w:rFonts w:ascii="Arial" w:hAnsi="Arial" w:cs="Arial"/>
          <w:sz w:val="22"/>
          <w:szCs w:val="22"/>
        </w:rPr>
        <w:lastRenderedPageBreak/>
        <w:t xml:space="preserve">data sets (e.g., phage, bacteria, yeast). </w:t>
      </w:r>
      <w:r>
        <w:rPr>
          <w:rFonts w:ascii="Arial" w:hAnsi="Arial" w:cs="Arial"/>
          <w:sz w:val="22"/>
          <w:szCs w:val="22"/>
        </w:rPr>
        <w:t>Therefore</w:t>
      </w:r>
      <w:r w:rsidRPr="00DE5C36">
        <w:rPr>
          <w:rFonts w:ascii="Arial" w:hAnsi="Arial" w:cs="Arial"/>
          <w:sz w:val="22"/>
          <w:szCs w:val="22"/>
        </w:rPr>
        <w:t>, achieving an unbiased comparison between different assemblers is difficult even before considering how they perform on human sequence data.</w:t>
      </w:r>
    </w:p>
    <w:p w:rsidR="00416C92" w:rsidRPr="00DE5C36" w:rsidRDefault="001627E2" w:rsidP="00F92917">
      <w:pPr>
        <w:pStyle w:val="NormalWeb"/>
        <w:keepNext/>
        <w:spacing w:before="120" w:beforeAutospacing="0" w:after="0" w:afterAutospacing="0"/>
        <w:jc w:val="center"/>
        <w:rPr>
          <w:rFonts w:ascii="Arial" w:hAnsi="Arial" w:cs="Arial"/>
          <w:sz w:val="22"/>
          <w:szCs w:val="22"/>
        </w:rPr>
      </w:pPr>
      <w:r w:rsidRPr="005D48FB">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DE5C36" w:rsidRDefault="00823A25" w:rsidP="00F92917">
      <w:pPr>
        <w:pStyle w:val="NormalWeb"/>
        <w:tabs>
          <w:tab w:val="center" w:pos="5400"/>
          <w:tab w:val="right" w:pos="10800"/>
        </w:tabs>
        <w:spacing w:before="120" w:beforeAutospacing="0" w:after="0" w:after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7C7D55" w:rsidRPr="00DE5C36" w:rsidRDefault="00F25065" w:rsidP="00F92917">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F92917">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F92917">
      <w:pPr>
        <w:spacing w:before="120"/>
        <w:rPr>
          <w:rFonts w:ascii="Arial" w:hAnsi="Arial" w:cs="Arial"/>
          <w:b/>
          <w:sz w:val="22"/>
          <w:szCs w:val="22"/>
        </w:rPr>
      </w:pPr>
      <w:r w:rsidRPr="00DE5C36">
        <w:rPr>
          <w:rFonts w:ascii="Arial" w:hAnsi="Arial" w:cs="Arial"/>
          <w:b/>
          <w:sz w:val="22"/>
          <w:szCs w:val="22"/>
        </w:rPr>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F92917">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(2)</w:t>
      </w:r>
      <w:r w:rsidR="005D48FB"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(3)</w:t>
      </w:r>
      <w:r w:rsidR="005D48FB"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5D48FB"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sz w:val="22"/>
          <w:szCs w:val="22"/>
        </w:rPr>
        <w:instrText xml:space="preserve"> ADDIN EN.CITE </w:instrText>
      </w:r>
      <w:r w:rsidR="005D48FB">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sz w:val="22"/>
          <w:szCs w:val="22"/>
        </w:rPr>
        <w:instrText xml:space="preserve"> ADDIN EN.CITE.DATA </w:instrText>
      </w:r>
      <w:r w:rsidR="005D48FB">
        <w:rPr>
          <w:rFonts w:ascii="Arial" w:hAnsi="Arial" w:cs="Arial"/>
          <w:sz w:val="22"/>
          <w:szCs w:val="22"/>
        </w:rPr>
      </w:r>
      <w:r w:rsidR="005D48FB">
        <w:rPr>
          <w:rFonts w:ascii="Arial" w:hAnsi="Arial" w:cs="Arial"/>
          <w:sz w:val="22"/>
          <w:szCs w:val="22"/>
        </w:rPr>
        <w:fldChar w:fldCharType="end"/>
      </w:r>
      <w:r w:rsidR="005D48FB" w:rsidRPr="00315885">
        <w:rPr>
          <w:rFonts w:ascii="Arial" w:hAnsi="Arial" w:cs="Arial"/>
          <w:sz w:val="22"/>
          <w:szCs w:val="22"/>
        </w:rPr>
      </w:r>
      <w:r w:rsidR="005D48FB" w:rsidRPr="00315885">
        <w:rPr>
          <w:rFonts w:ascii="Arial" w:hAnsi="Arial" w:cs="Arial"/>
          <w:sz w:val="22"/>
          <w:szCs w:val="22"/>
        </w:rPr>
        <w:fldChar w:fldCharType="separate"/>
      </w:r>
      <w:r w:rsidR="00EA12D2">
        <w:rPr>
          <w:rFonts w:ascii="Arial" w:hAnsi="Arial" w:cs="Arial"/>
          <w:sz w:val="22"/>
          <w:szCs w:val="22"/>
        </w:rPr>
        <w:t>(4)</w:t>
      </w:r>
      <w:r w:rsidR="005D48FB" w:rsidRPr="00315885">
        <w:rPr>
          <w:rFonts w:ascii="Arial" w:hAnsi="Arial" w:cs="Arial"/>
          <w:sz w:val="22"/>
          <w:szCs w:val="22"/>
        </w:rPr>
        <w:fldChar w:fldCharType="end"/>
      </w:r>
      <w:r w:rsidR="00315885" w:rsidRPr="00315885">
        <w:rPr>
          <w:rFonts w:ascii="Arial" w:hAnsi="Arial" w:cs="Arial"/>
          <w:sz w:val="22"/>
          <w:szCs w:val="22"/>
        </w:rPr>
        <w:t>, providing a digital measure of the presence and prevalence of 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F92917">
      <w:pPr>
        <w:spacing w:before="120"/>
        <w:rPr>
          <w:rFonts w:ascii="Arial" w:hAnsi="Arial" w:cs="Arial"/>
          <w:sz w:val="22"/>
          <w:szCs w:val="22"/>
        </w:rPr>
      </w:pPr>
      <w:r w:rsidRPr="00DE5C36">
        <w:rPr>
          <w:rFonts w:ascii="Arial" w:hAnsi="Arial" w:cs="Arial"/>
          <w:sz w:val="22"/>
          <w:szCs w:val="22"/>
        </w:rPr>
        <w:lastRenderedPageBreak/>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(5)</w:t>
      </w:r>
      <w:r w:rsidR="005D48FB"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(6)</w:t>
      </w:r>
      <w:r w:rsidR="005D48FB"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F92917">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5D48FB"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1A6E96">
        <w:rPr>
          <w:rFonts w:ascii="Arial" w:hAnsi="Arial" w:cs="Arial"/>
          <w:sz w:val="22"/>
          <w:szCs w:val="22"/>
        </w:rPr>
        <w:instrText xml:space="preserve"> ADDIN EN.CITE </w:instrText>
      </w:r>
      <w:r w:rsidR="005D48FB">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1A6E96">
        <w:rPr>
          <w:rFonts w:ascii="Arial" w:hAnsi="Arial" w:cs="Arial"/>
          <w:sz w:val="22"/>
          <w:szCs w:val="22"/>
        </w:rPr>
        <w:instrText xml:space="preserve"> ADDIN EN.CITE.DATA </w:instrText>
      </w:r>
      <w:r w:rsidR="005D48FB">
        <w:rPr>
          <w:rFonts w:ascii="Arial" w:hAnsi="Arial" w:cs="Arial"/>
          <w:sz w:val="22"/>
          <w:szCs w:val="22"/>
        </w:rPr>
      </w:r>
      <w:r w:rsidR="005D48FB">
        <w:rPr>
          <w:rFonts w:ascii="Arial" w:hAnsi="Arial" w:cs="Arial"/>
          <w:sz w:val="22"/>
          <w:szCs w:val="22"/>
        </w:rPr>
        <w:fldChar w:fldCharType="end"/>
      </w:r>
      <w:r w:rsidR="005D48FB" w:rsidRPr="00DE5C36">
        <w:rPr>
          <w:rFonts w:ascii="Arial" w:hAnsi="Arial" w:cs="Arial"/>
          <w:sz w:val="22"/>
          <w:szCs w:val="22"/>
        </w:rPr>
      </w:r>
      <w:r w:rsidR="005D48FB" w:rsidRPr="00DE5C36">
        <w:rPr>
          <w:rFonts w:ascii="Arial" w:hAnsi="Arial" w:cs="Arial"/>
          <w:sz w:val="22"/>
          <w:szCs w:val="22"/>
        </w:rPr>
        <w:fldChar w:fldCharType="separate"/>
      </w:r>
      <w:r w:rsidR="00EA12D2">
        <w:rPr>
          <w:rFonts w:ascii="Arial" w:hAnsi="Arial" w:cs="Arial"/>
          <w:sz w:val="22"/>
          <w:szCs w:val="22"/>
        </w:rPr>
        <w:t>(7)</w:t>
      </w:r>
      <w:r w:rsidR="005D48FB"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p>
    <w:p w:rsidR="002D3021" w:rsidRDefault="00315885" w:rsidP="00F92917">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005D48FB"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1A6E96">
        <w:rPr>
          <w:rFonts w:ascii="Arial" w:hAnsi="Arial" w:cs="Arial"/>
          <w:sz w:val="22"/>
          <w:szCs w:val="22"/>
        </w:rPr>
        <w:instrText xml:space="preserve"> ADDIN EN.CITE </w:instrText>
      </w:r>
      <w:r w:rsidR="005D48FB">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1A6E96">
        <w:rPr>
          <w:rFonts w:ascii="Arial" w:hAnsi="Arial" w:cs="Arial"/>
          <w:sz w:val="22"/>
          <w:szCs w:val="22"/>
        </w:rPr>
        <w:instrText xml:space="preserve"> ADDIN EN.CITE.DATA </w:instrText>
      </w:r>
      <w:r w:rsidR="005D48FB">
        <w:rPr>
          <w:rFonts w:ascii="Arial" w:hAnsi="Arial" w:cs="Arial"/>
          <w:sz w:val="22"/>
          <w:szCs w:val="22"/>
        </w:rPr>
      </w:r>
      <w:r w:rsidR="005D48FB">
        <w:rPr>
          <w:rFonts w:ascii="Arial" w:hAnsi="Arial" w:cs="Arial"/>
          <w:sz w:val="22"/>
          <w:szCs w:val="22"/>
        </w:rPr>
        <w:fldChar w:fldCharType="end"/>
      </w:r>
      <w:r w:rsidR="005D48FB" w:rsidRPr="00315885">
        <w:rPr>
          <w:rFonts w:ascii="Arial" w:hAnsi="Arial" w:cs="Arial"/>
          <w:sz w:val="22"/>
          <w:szCs w:val="22"/>
        </w:rPr>
      </w:r>
      <w:r w:rsidR="005D48FB" w:rsidRPr="00315885">
        <w:rPr>
          <w:rFonts w:ascii="Arial" w:hAnsi="Arial" w:cs="Arial"/>
          <w:sz w:val="22"/>
          <w:szCs w:val="22"/>
        </w:rPr>
        <w:fldChar w:fldCharType="separate"/>
      </w:r>
      <w:r w:rsidR="00EA12D2">
        <w:rPr>
          <w:rFonts w:ascii="Arial" w:hAnsi="Arial" w:cs="Arial"/>
          <w:sz w:val="22"/>
          <w:szCs w:val="22"/>
        </w:rPr>
        <w:t>(8, 9)</w:t>
      </w:r>
      <w:r w:rsidR="005D48FB"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(10)</w:t>
      </w:r>
      <w:r w:rsidR="005D48FB"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D66EA6">
        <w:rPr>
          <w:rFonts w:ascii="Arial" w:hAnsi="Arial" w:cs="Arial"/>
          <w:b/>
          <w:sz w:val="22"/>
          <w:szCs w:val="22"/>
        </w:rPr>
        <w:t xml:space="preserve">Advances in CNV prediction and characterization can be expected to have a far-reaching impact in the study of their involvement </w:t>
      </w:r>
      <w:r w:rsidR="00894318" w:rsidRPr="00D66EA6">
        <w:rPr>
          <w:rFonts w:ascii="Arial" w:hAnsi="Arial" w:cs="Arial"/>
          <w:b/>
          <w:sz w:val="22"/>
          <w:szCs w:val="22"/>
        </w:rPr>
        <w:t>not only in</w:t>
      </w:r>
      <w:r w:rsidRPr="00D66EA6">
        <w:rPr>
          <w:rFonts w:ascii="Arial" w:hAnsi="Arial" w:cs="Arial"/>
          <w:b/>
          <w:sz w:val="22"/>
          <w:szCs w:val="22"/>
        </w:rPr>
        <w:t xml:space="preserve"> </w:t>
      </w:r>
      <w:r w:rsidR="00894318" w:rsidRPr="00D66EA6">
        <w:rPr>
          <w:rFonts w:ascii="Arial" w:hAnsi="Arial" w:cs="Arial"/>
          <w:b/>
          <w:sz w:val="22"/>
          <w:szCs w:val="22"/>
        </w:rPr>
        <w:t>the characterization of different disease phenotypes, but also in the context of human phenotypic variation.</w:t>
      </w:r>
    </w:p>
    <w:p w:rsidR="002D3021" w:rsidRDefault="00A04A22" w:rsidP="00F92917">
      <w:pPr>
        <w:spacing w:before="120"/>
        <w:rPr>
          <w:rFonts w:ascii="Arial" w:hAnsi="Arial" w:cs="Arial"/>
          <w:sz w:val="22"/>
          <w:szCs w:val="22"/>
        </w:rPr>
      </w:pPr>
      <w:r w:rsidRPr="002D3021">
        <w:rPr>
          <w:rFonts w:ascii="Arial" w:hAnsi="Arial" w:cs="Arial"/>
          <w:color w:val="000000" w:themeColor="text1"/>
          <w:sz w:val="22"/>
          <w:szCs w:val="22"/>
        </w:rPr>
        <w:t>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Another approach is to target SNPs of interest in particular individuals early in the design stage of a study or to target specific pathways when analyzing genome-wide data</w:t>
      </w:r>
      <w:r w:rsidR="00914B31">
        <w:rPr>
          <w:rFonts w:ascii="Arial" w:hAnsi="Arial" w:cs="Arial"/>
          <w:color w:val="000000" w:themeColor="text1"/>
          <w:sz w:val="22"/>
          <w:szCs w:val="22"/>
        </w:rPr>
        <w:t xml:space="preserve"> </w:t>
      </w:r>
      <w:r w:rsidRPr="002D3021">
        <w:rPr>
          <w:rFonts w:ascii="Arial" w:hAnsi="Arial" w:cs="Arial"/>
          <w:color w:val="000000" w:themeColor="text1"/>
          <w:sz w:val="22"/>
          <w:szCs w:val="22"/>
        </w:rPr>
        <w:t xml:space="preserve">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5D48FB"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1A6E96">
        <w:rPr>
          <w:rFonts w:ascii="Arial" w:hAnsi="Arial" w:cs="Arial"/>
          <w:color w:val="000000" w:themeColor="text1"/>
          <w:sz w:val="22"/>
          <w:szCs w:val="22"/>
        </w:rPr>
        <w:instrText xml:space="preserve"> ADDIN EN.CITE </w:instrText>
      </w:r>
      <w:r w:rsidR="005D48FB">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1A6E96">
        <w:rPr>
          <w:rFonts w:ascii="Arial" w:hAnsi="Arial" w:cs="Arial"/>
          <w:color w:val="000000" w:themeColor="text1"/>
          <w:sz w:val="22"/>
          <w:szCs w:val="22"/>
        </w:rPr>
        <w:instrText xml:space="preserve"> ADDIN EN.CITE.DATA </w:instrText>
      </w:r>
      <w:r w:rsidR="005D48FB">
        <w:rPr>
          <w:rFonts w:ascii="Arial" w:hAnsi="Arial" w:cs="Arial"/>
          <w:color w:val="000000" w:themeColor="text1"/>
          <w:sz w:val="22"/>
          <w:szCs w:val="22"/>
        </w:rPr>
      </w:r>
      <w:r w:rsidR="005D48FB">
        <w:rPr>
          <w:rFonts w:ascii="Arial" w:hAnsi="Arial" w:cs="Arial"/>
          <w:color w:val="000000" w:themeColor="text1"/>
          <w:sz w:val="22"/>
          <w:szCs w:val="22"/>
        </w:rPr>
        <w:fldChar w:fldCharType="end"/>
      </w:r>
      <w:r w:rsidR="005D48FB" w:rsidRPr="002D3021">
        <w:rPr>
          <w:rFonts w:ascii="Arial" w:hAnsi="Arial" w:cs="Arial"/>
          <w:color w:val="000000" w:themeColor="text1"/>
          <w:sz w:val="22"/>
          <w:szCs w:val="22"/>
        </w:rPr>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(11)</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5D48FB"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(12)</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5D48FB"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(13)</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samples with no obvious reason evident from the SNP itself </w:t>
      </w:r>
      <w:r w:rsidR="005D48FB"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(14)</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5D48FB" w:rsidRPr="002D3021">
        <w:rPr>
          <w:rFonts w:ascii="Arial" w:hAnsi="Arial" w:cs="Arial"/>
          <w:color w:val="000000" w:themeColor="text1"/>
          <w:sz w:val="22"/>
          <w:szCs w:val="22"/>
        </w:rPr>
        <w:fldChar w:fldCharType="begin"/>
      </w:r>
      <w:r w:rsidR="001A6E96">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(15)</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Bioinformatics fills the space between NextGen </w:t>
      </w:r>
      <w:r w:rsidR="00DD7CAA">
        <w:rPr>
          <w:rFonts w:ascii="Arial" w:hAnsi="Arial" w:cs="Arial"/>
          <w:sz w:val="22"/>
          <w:szCs w:val="22"/>
        </w:rPr>
        <w:t xml:space="preserve">sequencing </w:t>
      </w:r>
      <w:r w:rsidR="002D3021">
        <w:rPr>
          <w:rFonts w:ascii="Arial" w:hAnsi="Arial" w:cs="Arial"/>
          <w:sz w:val="22"/>
          <w:szCs w:val="22"/>
        </w:rPr>
        <w:t xml:space="preserve">technology and the interpretation of the data by the medical community to </w:t>
      </w:r>
      <w:r w:rsidR="00D66EA6">
        <w:rPr>
          <w:rFonts w:ascii="Arial" w:hAnsi="Arial" w:cs="Arial"/>
          <w:sz w:val="22"/>
          <w:szCs w:val="22"/>
        </w:rPr>
        <w:t xml:space="preserve">ultimately </w:t>
      </w:r>
      <w:r w:rsidR="002D3021">
        <w:rPr>
          <w:rFonts w:ascii="Arial" w:hAnsi="Arial" w:cs="Arial"/>
          <w:sz w:val="22"/>
          <w:szCs w:val="22"/>
        </w:rPr>
        <w:t>make an impact on human health.</w:t>
      </w:r>
    </w:p>
    <w:p w:rsidR="00A04A22" w:rsidRPr="002D3021" w:rsidRDefault="00A04A22" w:rsidP="00F92917">
      <w:pPr>
        <w:spacing w:before="120"/>
        <w:rPr>
          <w:rFonts w:ascii="Arial" w:hAnsi="Arial" w:cs="Arial"/>
          <w:sz w:val="22"/>
          <w:szCs w:val="22"/>
        </w:rPr>
      </w:pPr>
    </w:p>
    <w:p w:rsidR="00F92917" w:rsidRPr="00DE5C36" w:rsidRDefault="001627E2" w:rsidP="00F92917">
      <w:pPr>
        <w:spacing w:before="120"/>
        <w:rPr>
          <w:rFonts w:ascii="Arial" w:hAnsi="Arial" w:cs="Arial"/>
          <w:sz w:val="22"/>
          <w:szCs w:val="22"/>
        </w:rPr>
      </w:pPr>
      <w:r w:rsidRPr="005D48FB">
        <w:rPr>
          <w:rFonts w:ascii="Arial" w:hAnsi="Arial" w:cs="Arial"/>
          <w:sz w:val="22"/>
          <w:szCs w:val="22"/>
        </w:rPr>
        <w:lastRenderedPageBreak/>
        <w:pict>
          <v:shape id="_x0000_i1026" type="#_x0000_t75" style="width:539.3pt;height:355.75pt">
            <v:imagedata r:id="rId14" o:title=""/>
          </v:shape>
        </w:pict>
      </w:r>
    </w:p>
    <w:p w:rsidR="00F92917" w:rsidRPr="00DE5C36" w:rsidRDefault="00F92917" w:rsidP="00F92917">
      <w:pPr>
        <w:spacing w:before="120"/>
        <w:jc w:val="center"/>
        <w:rPr>
          <w:rFonts w:ascii="Arial" w:hAnsi="Arial" w:cs="Arial"/>
          <w:sz w:val="22"/>
          <w:szCs w:val="22"/>
        </w:rPr>
      </w:pPr>
      <w:r w:rsidRPr="00DE5C36">
        <w:rPr>
          <w:rFonts w:ascii="Arial" w:hAnsi="Arial" w:cs="Arial"/>
          <w:sz w:val="22"/>
          <w:szCs w:val="22"/>
        </w:rPr>
        <w:t>Figure 2. An overview of workflow and viewer functionalities of currently available workflow tools and genome viewers shows that no existing tool provides all of the required functionality for an end-to-end solution.</w:t>
      </w:r>
    </w:p>
    <w:p w:rsidR="00E4711B" w:rsidRPr="00DE5C36" w:rsidRDefault="00623F7A" w:rsidP="00F92917">
      <w:pPr>
        <w:keepNext/>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F92917">
      <w:pPr>
        <w:autoSpaceDE w:val="0"/>
        <w:autoSpaceDN w:val="0"/>
        <w:adjustRightInd w:val="0"/>
        <w:spacing w:before="12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(16)</w:t>
      </w:r>
      <w:r w:rsidR="005D48FB"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and usability of bioinformatics tools </w:t>
      </w:r>
      <w:r w:rsidR="005D48FB" w:rsidRPr="00DE5C36">
        <w:rPr>
          <w:rFonts w:ascii="Arial" w:hAnsi="Arial" w:cs="Arial"/>
          <w:b/>
          <w:sz w:val="22"/>
          <w:szCs w:val="22"/>
        </w:rPr>
        <w:fldChar w:fldCharType="begin"/>
      </w:r>
      <w:r w:rsidR="001A6E96">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D48FB" w:rsidRPr="00DE5C36">
        <w:rPr>
          <w:rFonts w:ascii="Arial" w:hAnsi="Arial" w:cs="Arial"/>
          <w:b/>
          <w:sz w:val="22"/>
          <w:szCs w:val="22"/>
        </w:rPr>
        <w:fldChar w:fldCharType="separate"/>
      </w:r>
      <w:r w:rsidR="00EA12D2">
        <w:rPr>
          <w:rFonts w:ascii="Arial" w:hAnsi="Arial" w:cs="Arial"/>
          <w:b/>
          <w:sz w:val="22"/>
          <w:szCs w:val="22"/>
        </w:rPr>
        <w:t>(17)</w:t>
      </w:r>
      <w:r w:rsidR="005D48FB"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unmet 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(18)</w:t>
      </w:r>
      <w:r w:rsidR="005D48FB"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&lt;EndNote&gt;&lt;Cite&gt;&lt;Author&gt;Gordon&lt;/Author&gt;&lt;Year&gt;2007&lt;/Year&gt;&lt;RecNum&gt;495&lt;/RecNum&gt;&lt;record&gt;&lt;rec-number&gt;495&lt;/rec-number&gt;&lt;foreign-keys&gt;&lt;key app="EN" db-id="vavzfts03zvxtuepzzqxpte6wa9dr2xaprp5"&gt;495&lt;/key&gt;&lt;/foreign-keys&gt;&lt;ref-type name="Journal Article"&gt;17&lt;/ref-type&gt;&lt;contributors&gt;&lt;authors&gt;&lt;author&gt;Gordon, Paul M.K.&lt;/author&gt;&lt;author&gt;Trinh, Quang&lt;/author&gt;&lt;author&gt;Sensen, Christoph W.&lt;/author&gt;&lt;/authors&gt;&lt;/contributors&gt;&lt;titles&gt;&lt;title&gt;Semantic Web Service provision: a realistic framework for Bioinformatics programmers&lt;/title&gt;&lt;secondary-title&gt;Bioinformatics&lt;/secondary-title&gt;&lt;/titles&gt;&lt;periodical&gt;&lt;full-title&gt;Bioinformatics&lt;/full-title&gt;&lt;/periodical&gt;&lt;pages&gt;1178-1180&lt;/pages&gt;&lt;volume&gt;23&lt;/volume&gt;&lt;number&gt;9&lt;/number&gt;&lt;dates&gt;&lt;year&gt;2007&lt;/year&gt;&lt;pub-dates&gt;&lt;date&gt;May 1, 2007&lt;/date&gt;&lt;/pub-dates&gt;&lt;/dates&gt;&lt;urls&gt;&lt;related-urls&gt;&lt;url&gt;http://bioinformatics.oxfordjournals.org/cgi/content/abstract/23/9/1178&lt;/url&gt;&lt;/related-urls&gt;&lt;/urls&gt;&lt;electronic-resource-num&gt;10.1093/bioinformatics/btm060&lt;/electronic-resource-num&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(19)</w:t>
      </w:r>
      <w:r w:rsidR="005D48FB" w:rsidRPr="00DE5C36">
        <w:rPr>
          <w:rFonts w:ascii="Arial" w:hAnsi="Arial" w:cs="Arial"/>
          <w:sz w:val="22"/>
          <w:szCs w:val="22"/>
        </w:rPr>
        <w:fldChar w:fldCharType="end"/>
      </w:r>
      <w:r w:rsidR="006478EF" w:rsidRPr="00DE5C36">
        <w:rPr>
          <w:rFonts w:ascii="Arial" w:hAnsi="Arial" w:cs="Arial"/>
          <w:sz w:val="22"/>
          <w:szCs w:val="22"/>
        </w:rPr>
        <w:t xml:space="preserve"> and TAVERNA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&lt;EndNote&gt;&lt;Cite&gt;&lt;Author&gt;Oinn&lt;/Author&gt;&lt;Year&gt;2004&lt;/Year&gt;&lt;RecNum&gt;548&lt;/RecNum&gt;&lt;record&gt;&lt;rec-number&gt;548&lt;/rec-number&gt;&lt;foreign-keys&gt;&lt;key app="EN" db-id="vavzfts03zvxtuepzzqxpte6wa9dr2xaprp5"&gt;548&lt;/key&gt;&lt;/foreign-keys&gt;&lt;ref-type name="Journal Article"&gt;17&lt;/ref-type&gt;&lt;contributors&gt;&lt;authors&gt;&lt;author&gt;Oinn, T&lt;/author&gt;&lt;author&gt;Addis, M&lt;/author&gt;&lt;author&gt;Ferris, J&lt;/author&gt;&lt;author&gt;Marvin, D&lt;/author&gt;&lt;author&gt;Greenwood, M&lt;/author&gt;&lt;author&gt;Carver, T&lt;/author&gt;&lt;author&gt;Pocock, MR&lt;/author&gt;&lt;author&gt;Wipat, A&lt;/author&gt;&lt;author&gt;Li, P&lt;/author&gt;&lt;/authors&gt;&lt;/contributors&gt;&lt;titles&gt;&lt;title&gt;Taverna: A tool for the composition and enactment of bioinformatics workflows&lt;/title&gt;&lt;secondary-title&gt;Bioinformatics&lt;/secondary-title&gt;&lt;/titles&gt;&lt;periodical&gt;&lt;full-title&gt;Bioinformatics&lt;/full-title&gt;&lt;/periodical&gt;&lt;pages&gt;3045 - 3054&lt;/pages&gt;&lt;volume&gt;20&lt;/volume&gt;&lt;number&gt;7&lt;/number&gt;&lt;dates&gt;&lt;year&gt;2004&lt;/year&gt;&lt;/dates&gt;&lt;urls&gt;&lt;/urls&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(20)</w:t>
      </w:r>
      <w:r w:rsidR="005D48FB" w:rsidRPr="00DE5C36">
        <w:rPr>
          <w:rFonts w:ascii="Arial" w:hAnsi="Arial" w:cs="Arial"/>
          <w:sz w:val="22"/>
          <w:szCs w:val="22"/>
        </w:rPr>
        <w:fldChar w:fldCharType="end"/>
      </w:r>
      <w:r w:rsidR="006478EF" w:rsidRPr="00DE5C36">
        <w:rPr>
          <w:rFonts w:ascii="Arial" w:hAnsi="Arial" w:cs="Arial"/>
          <w:sz w:val="22"/>
          <w:szCs w:val="22"/>
        </w:rPr>
        <w:t xml:space="preserve"> with the limitation that service discovery relies upon the accurate and uniform description of biological data types and relations between them, for which there is no commonly-accepted ontology </w:t>
      </w:r>
      <w:r w:rsidR="005D48FB"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1A6E96">
        <w:rPr>
          <w:rFonts w:ascii="Arial" w:hAnsi="Arial" w:cs="Arial"/>
          <w:sz w:val="22"/>
          <w:szCs w:val="22"/>
        </w:rPr>
        <w:instrText xml:space="preserve"> ADDIN EN.CITE </w:instrText>
      </w:r>
      <w:r w:rsidR="005D48FB">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1A6E96">
        <w:rPr>
          <w:rFonts w:ascii="Arial" w:hAnsi="Arial" w:cs="Arial"/>
          <w:sz w:val="22"/>
          <w:szCs w:val="22"/>
        </w:rPr>
        <w:instrText xml:space="preserve"> ADDIN EN.CITE.DATA </w:instrText>
      </w:r>
      <w:r w:rsidR="005D48FB">
        <w:rPr>
          <w:rFonts w:ascii="Arial" w:hAnsi="Arial" w:cs="Arial"/>
          <w:sz w:val="22"/>
          <w:szCs w:val="22"/>
        </w:rPr>
      </w:r>
      <w:r w:rsidR="005D48FB">
        <w:rPr>
          <w:rFonts w:ascii="Arial" w:hAnsi="Arial" w:cs="Arial"/>
          <w:sz w:val="22"/>
          <w:szCs w:val="22"/>
        </w:rPr>
        <w:fldChar w:fldCharType="end"/>
      </w:r>
      <w:r w:rsidR="005D48FB" w:rsidRPr="00DE5C36">
        <w:rPr>
          <w:rFonts w:ascii="Arial" w:hAnsi="Arial" w:cs="Arial"/>
          <w:sz w:val="22"/>
          <w:szCs w:val="22"/>
        </w:rPr>
      </w:r>
      <w:r w:rsidR="005D48FB" w:rsidRPr="00DE5C36">
        <w:rPr>
          <w:rFonts w:ascii="Arial" w:hAnsi="Arial" w:cs="Arial"/>
          <w:sz w:val="22"/>
          <w:szCs w:val="22"/>
        </w:rPr>
        <w:fldChar w:fldCharType="separate"/>
      </w:r>
      <w:r w:rsidR="00EA12D2">
        <w:rPr>
          <w:rFonts w:ascii="Arial" w:hAnsi="Arial" w:cs="Arial"/>
          <w:sz w:val="22"/>
          <w:szCs w:val="22"/>
        </w:rPr>
        <w:t>(21-23)</w:t>
      </w:r>
      <w:r w:rsidR="005D48FB"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(24)</w:t>
      </w:r>
      <w:r w:rsidR="005D48FB"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F92917">
      <w:pPr>
        <w:autoSpaceDE w:val="0"/>
        <w:autoSpaceDN w:val="0"/>
        <w:adjustRightInd w:val="0"/>
        <w:spacing w:before="12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93670F" w:rsidRPr="00DE5C36">
        <w:rPr>
          <w:rFonts w:ascii="Arial" w:hAnsi="Arial" w:cs="Arial"/>
          <w:sz w:val="22"/>
          <w:szCs w:val="22"/>
        </w:rPr>
        <w:t>and GBrowse</w:t>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lastRenderedPageBreak/>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F92917" w:rsidRDefault="00AC005F" w:rsidP="00F92917">
      <w:pPr>
        <w:pStyle w:val="regulartext"/>
        <w:spacing w:before="120" w:beforeAutospacing="0" w:after="0" w:afterAutospacing="0"/>
        <w:rPr>
          <w:rFonts w:ascii="Arial" w:hAnsi="Arial" w:cs="Arial"/>
          <w:b/>
          <w:bCs/>
          <w:sz w:val="22"/>
          <w:szCs w:val="22"/>
        </w:rPr>
      </w:pPr>
      <w:r w:rsidRPr="00DE5C36">
        <w:rPr>
          <w:rFonts w:ascii="Arial" w:hAnsi="Arial" w:cs="Arial"/>
          <w:b/>
          <w:bCs/>
          <w:sz w:val="22"/>
          <w:szCs w:val="22"/>
        </w:rPr>
        <w:t>The Approach</w:t>
      </w:r>
    </w:p>
    <w:p w:rsidR="00A0328A" w:rsidRPr="00F92917" w:rsidRDefault="00A0328A" w:rsidP="00F92917">
      <w:pPr>
        <w:pStyle w:val="regulartext"/>
        <w:spacing w:before="120" w:beforeAutospacing="0" w:after="0" w:afterAutospacing="0"/>
        <w:rPr>
          <w:rFonts w:ascii="Arial" w:hAnsi="Arial" w:cs="Arial"/>
          <w:color w:val="548DD4" w:themeColor="text2" w:themeTint="99"/>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92917">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92917">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5"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F92917">
      <w:pPr>
        <w:spacing w:before="120"/>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F92917">
      <w:pPr>
        <w:spacing w:before="120"/>
        <w:rPr>
          <w:rFonts w:ascii="Arial" w:hAnsi="Arial" w:cs="Arial"/>
          <w:sz w:val="22"/>
          <w:szCs w:val="22"/>
        </w:rPr>
      </w:pPr>
      <w:r w:rsidRPr="00DE5C36">
        <w:rPr>
          <w:rFonts w:ascii="Arial" w:hAnsi="Arial" w:cs="Arial"/>
          <w:sz w:val="22"/>
          <w:szCs w:val="22"/>
        </w:rPr>
        <w:lastRenderedPageBreak/>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5D48FB"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b/>
          <w:sz w:val="22"/>
          <w:szCs w:val="22"/>
        </w:rPr>
        <w:instrText xml:space="preserve"> ADDIN EN.CITE </w:instrText>
      </w:r>
      <w:r w:rsidR="005D48FB">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1A6E96">
        <w:rPr>
          <w:rFonts w:ascii="Arial" w:hAnsi="Arial" w:cs="Arial"/>
          <w:b/>
          <w:sz w:val="22"/>
          <w:szCs w:val="22"/>
        </w:rPr>
        <w:instrText xml:space="preserve"> ADDIN EN.CITE.DATA </w:instrText>
      </w:r>
      <w:r w:rsidR="005D48FB">
        <w:rPr>
          <w:rFonts w:ascii="Arial" w:hAnsi="Arial" w:cs="Arial"/>
          <w:b/>
          <w:sz w:val="22"/>
          <w:szCs w:val="22"/>
        </w:rPr>
      </w:r>
      <w:r w:rsidR="005D48FB">
        <w:rPr>
          <w:rFonts w:ascii="Arial" w:hAnsi="Arial" w:cs="Arial"/>
          <w:b/>
          <w:sz w:val="22"/>
          <w:szCs w:val="22"/>
        </w:rPr>
        <w:fldChar w:fldCharType="end"/>
      </w:r>
      <w:r w:rsidR="005D48FB" w:rsidRPr="00DE5C36">
        <w:rPr>
          <w:rFonts w:ascii="Arial" w:hAnsi="Arial" w:cs="Arial"/>
          <w:b/>
          <w:sz w:val="22"/>
          <w:szCs w:val="22"/>
        </w:rPr>
      </w:r>
      <w:r w:rsidR="005D48FB" w:rsidRPr="00DE5C36">
        <w:rPr>
          <w:rFonts w:ascii="Arial" w:hAnsi="Arial" w:cs="Arial"/>
          <w:b/>
          <w:sz w:val="22"/>
          <w:szCs w:val="22"/>
        </w:rPr>
        <w:fldChar w:fldCharType="separate"/>
      </w:r>
      <w:r w:rsidR="00EA12D2">
        <w:rPr>
          <w:rFonts w:ascii="Arial" w:hAnsi="Arial" w:cs="Arial"/>
          <w:b/>
          <w:sz w:val="22"/>
          <w:szCs w:val="22"/>
        </w:rPr>
        <w:t>(4)</w:t>
      </w:r>
      <w:r w:rsidR="005D48FB"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1627E2" w:rsidP="00F92917">
      <w:pPr>
        <w:spacing w:before="120"/>
        <w:rPr>
          <w:rFonts w:ascii="Arial" w:hAnsi="Arial" w:cs="Arial"/>
          <w:sz w:val="22"/>
          <w:szCs w:val="22"/>
        </w:rPr>
      </w:pPr>
      <w:r w:rsidRPr="005D48FB">
        <w:rPr>
          <w:rFonts w:ascii="Arial" w:hAnsi="Arial" w:cs="Arial"/>
          <w:sz w:val="22"/>
          <w:szCs w:val="22"/>
        </w:rPr>
        <w:pict>
          <v:shape id="Object 3" o:spid="_x0000_i1027"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6" o:title="" croptop="-2026f" cropbottom="-152f" cropleft="-1179f" cropright="-969f"/>
            <o:lock v:ext="edit" aspectratio="f"/>
          </v:shape>
        </w:pict>
      </w:r>
    </w:p>
    <w:p w:rsidR="002C276E" w:rsidRPr="00DE5C36" w:rsidRDefault="00823A25" w:rsidP="00F92917">
      <w:pPr>
        <w:spacing w:before="120"/>
        <w:jc w:val="center"/>
        <w:rPr>
          <w:rFonts w:ascii="Arial" w:hAnsi="Arial" w:cs="Arial"/>
          <w:sz w:val="22"/>
          <w:szCs w:val="22"/>
        </w:rPr>
      </w:pPr>
      <w:r w:rsidRPr="00DE5C36">
        <w:rPr>
          <w:rFonts w:ascii="Arial" w:hAnsi="Arial" w:cs="Arial"/>
          <w:sz w:val="22"/>
          <w:szCs w:val="22"/>
        </w:rPr>
        <w:t>Figure 3</w:t>
      </w:r>
      <w:r w:rsidR="002C276E" w:rsidRPr="00DE5C36">
        <w:rPr>
          <w:rFonts w:ascii="Arial" w:hAnsi="Arial" w:cs="Arial"/>
          <w:sz w:val="22"/>
          <w:szCs w:val="22"/>
        </w:rPr>
        <w:t>. Prototype SNP validation and expression analysis workflows.</w:t>
      </w:r>
    </w:p>
    <w:p w:rsidR="000E2EEF" w:rsidRPr="00DE5C36" w:rsidRDefault="00902E50" w:rsidP="00F92917">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F92917">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B14901" w:rsidRDefault="00B14901" w:rsidP="00F92917">
      <w:pPr>
        <w:spacing w:before="120"/>
        <w:rPr>
          <w:rFonts w:ascii="Arial" w:hAnsi="Arial" w:cs="Arial"/>
          <w:b/>
          <w:sz w:val="22"/>
          <w:szCs w:val="22"/>
        </w:rPr>
      </w:pPr>
    </w:p>
    <w:p w:rsidR="00B14901" w:rsidRDefault="00B14901" w:rsidP="00F92917">
      <w:pPr>
        <w:spacing w:before="120"/>
        <w:rPr>
          <w:rFonts w:ascii="Arial" w:hAnsi="Arial" w:cs="Arial"/>
          <w:b/>
          <w:sz w:val="22"/>
          <w:szCs w:val="22"/>
        </w:rPr>
      </w:pPr>
    </w:p>
    <w:p w:rsidR="0001530E" w:rsidRPr="00DE5C36" w:rsidRDefault="00D6450E" w:rsidP="00F92917">
      <w:pPr>
        <w:spacing w:before="120"/>
        <w:rPr>
          <w:rFonts w:ascii="Arial" w:hAnsi="Arial" w:cs="Arial"/>
          <w:b/>
          <w:sz w:val="22"/>
          <w:szCs w:val="22"/>
        </w:rPr>
      </w:pPr>
      <w:r w:rsidRPr="00DE5C36">
        <w:rPr>
          <w:rFonts w:ascii="Arial" w:hAnsi="Arial" w:cs="Arial"/>
          <w:b/>
          <w:sz w:val="22"/>
          <w:szCs w:val="22"/>
        </w:rPr>
        <w:t xml:space="preserve">Functional </w:t>
      </w:r>
      <w:r w:rsidR="0001530E" w:rsidRPr="00DE5C36">
        <w:rPr>
          <w:rFonts w:ascii="Arial" w:hAnsi="Arial" w:cs="Arial"/>
          <w:b/>
          <w:sz w:val="22"/>
          <w:szCs w:val="22"/>
        </w:rPr>
        <w:t>Requirements</w:t>
      </w:r>
    </w:p>
    <w:p w:rsidR="00B537BF"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lastRenderedPageBreak/>
        <w:t xml:space="preserve">Low barriers to usage </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F92917">
      <w:pPr>
        <w:numPr>
          <w:ilvl w:val="1"/>
          <w:numId w:val="10"/>
        </w:numPr>
        <w:spacing w:before="120"/>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F92917">
      <w:pPr>
        <w:numPr>
          <w:ilvl w:val="0"/>
          <w:numId w:val="10"/>
        </w:numPr>
        <w:spacing w:before="120"/>
        <w:rPr>
          <w:rFonts w:ascii="Arial" w:hAnsi="Arial" w:cs="Arial"/>
          <w:sz w:val="22"/>
          <w:szCs w:val="22"/>
        </w:rPr>
      </w:pPr>
      <w:r w:rsidRPr="00DE5C36">
        <w:rPr>
          <w:rFonts w:ascii="Arial" w:hAnsi="Arial" w:cs="Arial"/>
          <w:sz w:val="22"/>
          <w:szCs w:val="22"/>
        </w:rPr>
        <w:t>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Drag ‘n drop 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Loops, conditional branching</w:t>
      </w:r>
    </w:p>
    <w:p w:rsidR="00CC0A1D"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Views</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F92917">
      <w:pPr>
        <w:numPr>
          <w:ilvl w:val="1"/>
          <w:numId w:val="10"/>
        </w:numPr>
        <w:spacing w:before="120"/>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F92917">
      <w:pPr>
        <w:numPr>
          <w:ilvl w:val="1"/>
          <w:numId w:val="10"/>
        </w:numPr>
        <w:spacing w:before="120"/>
        <w:rPr>
          <w:rFonts w:ascii="Arial" w:hAnsi="Arial" w:cs="Arial"/>
          <w:sz w:val="22"/>
          <w:szCs w:val="22"/>
        </w:rPr>
      </w:pPr>
      <w:r w:rsidRPr="00DE5C36">
        <w:rPr>
          <w:rFonts w:ascii="Arial" w:hAnsi="Arial" w:cs="Arial"/>
          <w:sz w:val="22"/>
          <w:szCs w:val="22"/>
        </w:rPr>
        <w:t>Fast view update</w:t>
      </w:r>
    </w:p>
    <w:p w:rsidR="00E20551"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Sharing</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F92917">
      <w:pPr>
        <w:numPr>
          <w:ilvl w:val="0"/>
          <w:numId w:val="10"/>
        </w:numPr>
        <w:spacing w:before="120"/>
        <w:rPr>
          <w:rFonts w:ascii="Arial" w:hAnsi="Arial" w:cs="Arial"/>
          <w:sz w:val="22"/>
          <w:szCs w:val="22"/>
        </w:rPr>
      </w:pPr>
      <w:r w:rsidRPr="00DE5C36">
        <w:rPr>
          <w:rFonts w:ascii="Arial" w:hAnsi="Arial" w:cs="Arial"/>
          <w:sz w:val="22"/>
          <w:szCs w:val="22"/>
        </w:rPr>
        <w:t>Input/Output and execution</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F92917">
      <w:pPr>
        <w:numPr>
          <w:ilvl w:val="1"/>
          <w:numId w:val="10"/>
        </w:numPr>
        <w:spacing w:before="120"/>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F92917">
      <w:pPr>
        <w:numPr>
          <w:ilvl w:val="1"/>
          <w:numId w:val="10"/>
        </w:numPr>
        <w:spacing w:before="120"/>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Cluster execution</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Grid execution</w:t>
      </w:r>
    </w:p>
    <w:p w:rsidR="006E7903" w:rsidRPr="00DE5C36" w:rsidRDefault="006E7903" w:rsidP="00F92917">
      <w:pPr>
        <w:numPr>
          <w:ilvl w:val="0"/>
          <w:numId w:val="10"/>
        </w:numPr>
        <w:spacing w:before="120"/>
        <w:rPr>
          <w:rFonts w:ascii="Arial" w:hAnsi="Arial" w:cs="Arial"/>
          <w:sz w:val="22"/>
          <w:szCs w:val="22"/>
        </w:rPr>
      </w:pPr>
      <w:r w:rsidRPr="00DE5C36">
        <w:rPr>
          <w:rFonts w:ascii="Arial" w:hAnsi="Arial" w:cs="Arial"/>
          <w:sz w:val="22"/>
          <w:szCs w:val="22"/>
        </w:rPr>
        <w:t>Maintain state (action history)</w:t>
      </w:r>
    </w:p>
    <w:p w:rsidR="00450C20" w:rsidRPr="00B14901" w:rsidRDefault="006E7903" w:rsidP="00B14901">
      <w:pPr>
        <w:numPr>
          <w:ilvl w:val="0"/>
          <w:numId w:val="10"/>
        </w:numPr>
        <w:spacing w:before="120"/>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B62391" w:rsidRPr="00DE5C36" w:rsidRDefault="006A665F" w:rsidP="00F92917">
      <w:pPr>
        <w:autoSpaceDE w:val="0"/>
        <w:autoSpaceDN w:val="0"/>
        <w:adjustRightInd w:val="0"/>
        <w:spacing w:before="120"/>
        <w:rPr>
          <w:rFonts w:ascii="Arial" w:hAnsi="Arial" w:cs="Arial"/>
          <w:sz w:val="22"/>
          <w:szCs w:val="22"/>
        </w:rPr>
      </w:pPr>
      <w:r w:rsidRPr="00DE5C36">
        <w:rPr>
          <w:rFonts w:ascii="Arial" w:hAnsi="Arial" w:cs="Arial"/>
          <w:sz w:val="22"/>
          <w:szCs w:val="22"/>
        </w:rPr>
        <w:t>Information regarding data provenance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xml:space="preserve">. In addition, a log is kept of all project changes and updates. The user can also annotate the project at all levels and search these annotations. Aqwa is similar to the laboratory notebook paradigm employed by the BCJ (Bioinformatics Computational Journal) workflow tools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5D48FB" w:rsidRPr="00DE5C36">
        <w:rPr>
          <w:rFonts w:ascii="Arial" w:hAnsi="Arial" w:cs="Arial"/>
          <w:sz w:val="22"/>
          <w:szCs w:val="22"/>
        </w:rPr>
        <w:fldChar w:fldCharType="separate"/>
      </w:r>
      <w:r w:rsidR="00F56EBD">
        <w:rPr>
          <w:rFonts w:ascii="Arial" w:hAnsi="Arial" w:cs="Arial"/>
          <w:sz w:val="22"/>
          <w:szCs w:val="22"/>
        </w:rPr>
        <w:t>(25)</w:t>
      </w:r>
      <w:r w:rsidR="005D48FB" w:rsidRPr="00DE5C36">
        <w:rPr>
          <w:rFonts w:ascii="Arial" w:hAnsi="Arial" w:cs="Arial"/>
          <w:sz w:val="22"/>
          <w:szCs w:val="22"/>
        </w:rPr>
        <w:fldChar w:fldCharType="end"/>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5D48FB" w:rsidRPr="00DE5C36">
        <w:rPr>
          <w:rFonts w:ascii="Arial" w:hAnsi="Arial" w:cs="Arial"/>
          <w:b/>
          <w:sz w:val="22"/>
          <w:szCs w:val="22"/>
        </w:rPr>
        <w:fldChar w:fldCharType="begin"/>
      </w:r>
      <w:r w:rsidR="001A6E96">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5D48FB" w:rsidRPr="00DE5C36">
        <w:rPr>
          <w:rFonts w:ascii="Arial" w:hAnsi="Arial" w:cs="Arial"/>
          <w:b/>
          <w:sz w:val="22"/>
          <w:szCs w:val="22"/>
        </w:rPr>
        <w:fldChar w:fldCharType="separate"/>
      </w:r>
      <w:r w:rsidR="00F56EBD">
        <w:rPr>
          <w:rFonts w:ascii="Arial" w:hAnsi="Arial" w:cs="Arial"/>
          <w:b/>
          <w:sz w:val="22"/>
          <w:szCs w:val="22"/>
        </w:rPr>
        <w:t>(26)</w:t>
      </w:r>
      <w:r w:rsidR="005D48FB"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s 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7"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F92917">
      <w:pPr>
        <w:autoSpaceDE w:val="0"/>
        <w:autoSpaceDN w:val="0"/>
        <w:adjustRightInd w:val="0"/>
        <w:spacing w:before="120"/>
        <w:rPr>
          <w:rFonts w:ascii="Arial" w:hAnsi="Arial" w:cs="Arial"/>
          <w:sz w:val="22"/>
          <w:szCs w:val="22"/>
        </w:rPr>
      </w:pPr>
    </w:p>
    <w:p w:rsidR="003D0D84" w:rsidRPr="00DE5C36" w:rsidRDefault="001627E2" w:rsidP="00F92917">
      <w:pPr>
        <w:autoSpaceDE w:val="0"/>
        <w:autoSpaceDN w:val="0"/>
        <w:adjustRightInd w:val="0"/>
        <w:spacing w:before="120"/>
        <w:jc w:val="center"/>
        <w:rPr>
          <w:rFonts w:ascii="Arial" w:hAnsi="Arial" w:cs="Arial"/>
          <w:sz w:val="22"/>
          <w:szCs w:val="22"/>
        </w:rPr>
      </w:pPr>
      <w:r w:rsidRPr="005D48FB">
        <w:rPr>
          <w:rFonts w:ascii="Arial" w:hAnsi="Arial" w:cs="Arial"/>
          <w:sz w:val="22"/>
          <w:szCs w:val="22"/>
        </w:rPr>
        <w:pict>
          <v:shape id="Picture 2" o:spid="_x0000_i1028" type="#_x0000_t75" alt="view-complete-opaque.png" style="width:402.35pt;height:258.35pt;visibility:visible;mso-wrap-style:square">
            <v:imagedata r:id="rId18" o:title="view-complete-opaque"/>
          </v:shape>
        </w:pict>
      </w:r>
    </w:p>
    <w:p w:rsidR="003D0D84" w:rsidRPr="00DE5C36" w:rsidRDefault="00231169" w:rsidP="00B14901">
      <w:pPr>
        <w:autoSpaceDE w:val="0"/>
        <w:autoSpaceDN w:val="0"/>
        <w:adjustRightInd w:val="0"/>
        <w:spacing w:before="12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F12253" w:rsidRPr="00DE5C36" w:rsidRDefault="00E8006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19"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1627E2" w:rsidP="00F92917">
      <w:pPr>
        <w:keepNext/>
        <w:spacing w:before="120"/>
        <w:jc w:val="center"/>
        <w:rPr>
          <w:rFonts w:ascii="Arial" w:hAnsi="Arial" w:cs="Arial"/>
          <w:sz w:val="22"/>
          <w:szCs w:val="22"/>
        </w:rPr>
      </w:pPr>
      <w:r w:rsidRPr="005D48FB">
        <w:rPr>
          <w:rFonts w:ascii="Arial" w:hAnsi="Arial" w:cs="Arial"/>
          <w:sz w:val="22"/>
          <w:szCs w:val="22"/>
        </w:rPr>
        <w:pict>
          <v:shape id="Picture 1" o:spid="_x0000_i1029" type="#_x0000_t75" alt="workflow-opaque.png" style="width:392.45pt;height:248.45pt;visibility:visible;mso-wrap-style:square">
            <v:imagedata r:id="rId20" o:title="workflow-opaque"/>
          </v:shape>
        </w:pict>
      </w:r>
    </w:p>
    <w:p w:rsidR="00F12253" w:rsidRPr="00DE5C36" w:rsidRDefault="00231169" w:rsidP="00F92917">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F92917">
      <w:pPr>
        <w:autoSpaceDE w:val="0"/>
        <w:autoSpaceDN w:val="0"/>
        <w:adjustRightInd w:val="0"/>
        <w:spacing w:before="120"/>
        <w:rPr>
          <w:rFonts w:ascii="Arial" w:hAnsi="Arial" w:cs="Arial"/>
          <w:color w:val="000000" w:themeColor="text1"/>
          <w:sz w:val="22"/>
          <w:szCs w:val="22"/>
        </w:rPr>
      </w:pPr>
    </w:p>
    <w:p w:rsidR="00123FEC" w:rsidRPr="00DE5C36" w:rsidRDefault="00E75A5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lastRenderedPageBreak/>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1627E2" w:rsidP="00F92917">
      <w:pPr>
        <w:spacing w:before="120"/>
        <w:jc w:val="center"/>
        <w:rPr>
          <w:rFonts w:ascii="Arial" w:hAnsi="Arial" w:cs="Arial"/>
          <w:sz w:val="22"/>
          <w:szCs w:val="22"/>
        </w:rPr>
      </w:pPr>
      <w:r w:rsidRPr="005D48FB">
        <w:rPr>
          <w:rFonts w:ascii="Arial" w:hAnsi="Arial" w:cs="Arial"/>
          <w:sz w:val="22"/>
          <w:szCs w:val="22"/>
        </w:rPr>
        <w:pict>
          <v:shape id="Object 1" o:spid="_x0000_i1030"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1" o:title="" cropbottom="-195f"/>
            <o:lock v:ext="edit" aspectratio="f"/>
          </v:shape>
        </w:pict>
      </w:r>
    </w:p>
    <w:p w:rsidR="00C90AC1" w:rsidRPr="00DE5C36" w:rsidRDefault="00231169" w:rsidP="00F92917">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F92917">
      <w:pPr>
        <w:spacing w:before="120"/>
        <w:rPr>
          <w:rFonts w:ascii="Arial" w:hAnsi="Arial" w:cs="Arial"/>
          <w:sz w:val="22"/>
          <w:szCs w:val="22"/>
        </w:rPr>
      </w:pPr>
    </w:p>
    <w:p w:rsidR="007424C3" w:rsidRPr="00DE5C36" w:rsidRDefault="007424C3" w:rsidP="00F92917">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F92917">
      <w:pPr>
        <w:autoSpaceDE w:val="0"/>
        <w:autoSpaceDN w:val="0"/>
        <w:adjustRightInd w:val="0"/>
        <w:spacing w:before="120"/>
        <w:rPr>
          <w:rFonts w:ascii="Arial" w:hAnsi="Arial" w:cs="Arial"/>
          <w:iCs/>
          <w:sz w:val="22"/>
          <w:szCs w:val="22"/>
        </w:rPr>
      </w:pPr>
      <w:r w:rsidRPr="00DE5C36">
        <w:rPr>
          <w:rFonts w:ascii="Arial" w:hAnsi="Arial" w:cs="Arial"/>
          <w:sz w:val="22"/>
          <w:szCs w:val="22"/>
        </w:rPr>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Loading the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F92917">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1627E2" w:rsidP="00F92917">
      <w:pPr>
        <w:pStyle w:val="NormalWeb"/>
        <w:spacing w:before="120" w:beforeAutospacing="0" w:after="0" w:afterAutospacing="0"/>
        <w:jc w:val="center"/>
        <w:rPr>
          <w:rFonts w:ascii="Arial" w:hAnsi="Arial" w:cs="Arial"/>
          <w:sz w:val="22"/>
          <w:szCs w:val="22"/>
        </w:rPr>
      </w:pPr>
      <w:r w:rsidRPr="005D48FB">
        <w:rPr>
          <w:rFonts w:ascii="Arial" w:hAnsi="Arial" w:cs="Arial"/>
          <w:sz w:val="22"/>
          <w:szCs w:val="22"/>
        </w:rPr>
        <w:lastRenderedPageBreak/>
        <w:pict>
          <v:shape id="_x0000_i1031" type="#_x0000_t75" style="width:386.8pt;height:307.0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2" o:title="" croptop="-1756f" cropbottom="-1309f" cropleft="-473f"/>
            <o:lock v:ext="edit" aspectratio="f"/>
          </v:shape>
        </w:pict>
      </w:r>
    </w:p>
    <w:p w:rsidR="00231169" w:rsidRPr="00DE5C36" w:rsidRDefault="00231169" w:rsidP="00F92917">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F92917">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3"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F92917">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5D48FB" w:rsidRPr="00DE5C36">
        <w:rPr>
          <w:rFonts w:ascii="Arial" w:hAnsi="Arial" w:cs="Arial"/>
          <w:sz w:val="22"/>
          <w:szCs w:val="22"/>
        </w:rPr>
        <w:fldChar w:fldCharType="separate"/>
      </w:r>
      <w:r w:rsidR="00DA0A52">
        <w:rPr>
          <w:rFonts w:ascii="Arial" w:hAnsi="Arial" w:cs="Arial"/>
          <w:sz w:val="22"/>
          <w:szCs w:val="22"/>
        </w:rPr>
        <w:t>(27)</w:t>
      </w:r>
      <w:r w:rsidR="005D48FB" w:rsidRPr="00DE5C36">
        <w:rPr>
          <w:rFonts w:ascii="Arial" w:hAnsi="Arial" w:cs="Arial"/>
          <w:sz w:val="22"/>
          <w:szCs w:val="22"/>
        </w:rPr>
        <w:fldChar w:fldCharType="end"/>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w:t>
      </w:r>
      <w:r w:rsidR="005D48FB" w:rsidRPr="00DE5C36">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1A6E96">
        <w:rPr>
          <w:rFonts w:ascii="Arial" w:hAnsi="Arial" w:cs="Arial"/>
          <w:sz w:val="22"/>
          <w:szCs w:val="22"/>
        </w:rPr>
        <w:instrText xml:space="preserve"> ADDIN EN.CITE </w:instrText>
      </w:r>
      <w:r w:rsidR="005D48FB">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1A6E96">
        <w:rPr>
          <w:rFonts w:ascii="Arial" w:hAnsi="Arial" w:cs="Arial"/>
          <w:sz w:val="22"/>
          <w:szCs w:val="22"/>
        </w:rPr>
        <w:instrText xml:space="preserve"> ADDIN EN.CITE.DATA </w:instrText>
      </w:r>
      <w:r w:rsidR="005D48FB">
        <w:rPr>
          <w:rFonts w:ascii="Arial" w:hAnsi="Arial" w:cs="Arial"/>
          <w:sz w:val="22"/>
          <w:szCs w:val="22"/>
        </w:rPr>
      </w:r>
      <w:r w:rsidR="005D48FB">
        <w:rPr>
          <w:rFonts w:ascii="Arial" w:hAnsi="Arial" w:cs="Arial"/>
          <w:sz w:val="22"/>
          <w:szCs w:val="22"/>
        </w:rPr>
        <w:fldChar w:fldCharType="end"/>
      </w:r>
      <w:r w:rsidR="005D48FB" w:rsidRPr="00DE5C36">
        <w:rPr>
          <w:rFonts w:ascii="Arial" w:hAnsi="Arial" w:cs="Arial"/>
          <w:sz w:val="22"/>
          <w:szCs w:val="22"/>
        </w:rPr>
      </w:r>
      <w:r w:rsidR="005D48FB" w:rsidRPr="00DE5C36">
        <w:rPr>
          <w:rFonts w:ascii="Arial" w:hAnsi="Arial" w:cs="Arial"/>
          <w:sz w:val="22"/>
          <w:szCs w:val="22"/>
        </w:rPr>
        <w:fldChar w:fldCharType="separate"/>
      </w:r>
      <w:r w:rsidR="00DA0A52">
        <w:rPr>
          <w:rFonts w:ascii="Arial" w:hAnsi="Arial" w:cs="Arial"/>
          <w:sz w:val="22"/>
          <w:szCs w:val="22"/>
        </w:rPr>
        <w:t>(28)</w:t>
      </w:r>
      <w:r w:rsidR="005D48FB" w:rsidRPr="00DE5C36">
        <w:rPr>
          <w:rFonts w:ascii="Arial" w:hAnsi="Arial" w:cs="Arial"/>
          <w:sz w:val="22"/>
          <w:szCs w:val="22"/>
        </w:rPr>
        <w:fldChar w:fldCharType="end"/>
      </w:r>
      <w:r w:rsidR="00A0328A" w:rsidRPr="00DE5C36">
        <w:rPr>
          <w:rFonts w:ascii="Arial" w:hAnsi="Arial" w:cs="Arial"/>
          <w:sz w:val="22"/>
          <w:szCs w:val="22"/>
        </w:rPr>
        <w:t xml:space="preserve"> and Pegasys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5D48FB" w:rsidRPr="00DE5C36">
        <w:rPr>
          <w:rFonts w:ascii="Arial" w:hAnsi="Arial" w:cs="Arial"/>
          <w:sz w:val="22"/>
          <w:szCs w:val="22"/>
        </w:rPr>
        <w:fldChar w:fldCharType="separate"/>
      </w:r>
      <w:r w:rsidR="00DA0A52">
        <w:rPr>
          <w:rFonts w:ascii="Arial" w:hAnsi="Arial" w:cs="Arial"/>
          <w:sz w:val="22"/>
          <w:szCs w:val="22"/>
        </w:rPr>
        <w:t>(27)</w:t>
      </w:r>
      <w:r w:rsidR="005D48FB" w:rsidRPr="00DE5C36">
        <w:rPr>
          <w:rFonts w:ascii="Arial" w:hAnsi="Arial" w:cs="Arial"/>
          <w:sz w:val="22"/>
          <w:szCs w:val="22"/>
        </w:rPr>
        <w:fldChar w:fldCharType="end"/>
      </w:r>
      <w:r w:rsidR="00A0328A" w:rsidRPr="00DE5C36">
        <w:rPr>
          <w:rFonts w:ascii="Arial" w:hAnsi="Arial" w:cs="Arial"/>
          <w:sz w:val="22"/>
          <w:szCs w:val="22"/>
        </w:rPr>
        <w:t>.</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F9291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F9291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w:t>
      </w:r>
      <w:r w:rsidR="003E5C21" w:rsidRPr="00DE5C36">
        <w:rPr>
          <w:rFonts w:ascii="Arial" w:hAnsi="Arial" w:cs="Arial"/>
          <w:sz w:val="22"/>
          <w:szCs w:val="22"/>
        </w:rPr>
        <w:lastRenderedPageBreak/>
        <w:t>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F9291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describing bioinformatics workflows (Garcia et al., 2005) 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F9291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F92917">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5D48FB" w:rsidRPr="00DE5C36">
        <w:rPr>
          <w:rFonts w:ascii="Arial" w:hAnsi="Arial" w:cs="Arial"/>
          <w:sz w:val="22"/>
          <w:szCs w:val="22"/>
        </w:rPr>
        <w:fldChar w:fldCharType="begin"/>
      </w:r>
      <w:r w:rsidR="001A6E96">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(17)</w:t>
      </w:r>
      <w:r w:rsidR="005D48FB"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F92917">
      <w:pPr>
        <w:pStyle w:val="regulartext"/>
        <w:keepNext/>
        <w:spacing w:before="120" w:beforeAutospacing="0" w:after="0" w:afterAutospacing="0"/>
        <w:rPr>
          <w:rFonts w:ascii="Arial" w:hAnsi="Arial" w:cs="Arial"/>
          <w:sz w:val="22"/>
          <w:szCs w:val="22"/>
        </w:rPr>
      </w:pPr>
      <w:r w:rsidRPr="00DE5C36">
        <w:rPr>
          <w:rFonts w:ascii="Arial" w:hAnsi="Arial" w:cs="Arial"/>
          <w:b/>
          <w:bCs/>
          <w:sz w:val="22"/>
          <w:szCs w:val="22"/>
        </w:rPr>
        <w:t>Timeline and Milestones</w:t>
      </w:r>
    </w:p>
    <w:p w:rsidR="00D468FE" w:rsidRDefault="002C3F79"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F92917">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F92917">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1627E2" w:rsidP="00F92917">
      <w:pPr>
        <w:spacing w:before="120"/>
        <w:jc w:val="center"/>
        <w:rPr>
          <w:rFonts w:ascii="Arial" w:hAnsi="Arial" w:cs="Arial"/>
          <w:sz w:val="22"/>
          <w:szCs w:val="22"/>
        </w:rPr>
      </w:pPr>
      <w:r w:rsidRPr="005D48FB">
        <w:rPr>
          <w:rFonts w:ascii="Arial" w:hAnsi="Arial" w:cs="Arial"/>
          <w:sz w:val="22"/>
          <w:szCs w:val="22"/>
        </w:rPr>
        <w:lastRenderedPageBreak/>
        <w:pict>
          <v:shape id="_x0000_i1032" type="#_x0000_t75" style="width:517.4pt;height:288.7pt">
            <v:imagedata r:id="rId24" o:title="timeline-v3"/>
          </v:shape>
        </w:pict>
      </w:r>
    </w:p>
    <w:p w:rsidR="00451572" w:rsidRPr="00DE5C36" w:rsidRDefault="00EB3312" w:rsidP="00F92917">
      <w:pPr>
        <w:spacing w:before="120"/>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F92917">
      <w:pPr>
        <w:spacing w:before="120"/>
        <w:rPr>
          <w:rFonts w:ascii="Arial" w:hAnsi="Arial" w:cs="Arial"/>
          <w:sz w:val="22"/>
          <w:szCs w:val="22"/>
        </w:rPr>
      </w:pPr>
      <w:r>
        <w:rPr>
          <w:rFonts w:ascii="Arial" w:hAnsi="Arial" w:cs="Arial"/>
          <w:sz w:val="22"/>
          <w:szCs w:val="22"/>
        </w:rPr>
        <w:t>As part of the inception stage</w:t>
      </w:r>
      <w:r w:rsidRPr="00DE5C36">
        <w:rPr>
          <w:rFonts w:ascii="Arial" w:hAnsi="Arial" w:cs="Arial"/>
          <w:sz w:val="22"/>
          <w:szCs w:val="22"/>
        </w:rPr>
        <w:t xml:space="preserve"> </w:t>
      </w:r>
      <w:r>
        <w:rPr>
          <w:rFonts w:ascii="Arial" w:hAnsi="Arial" w:cs="Arial"/>
          <w:sz w:val="22"/>
          <w:szCs w:val="22"/>
        </w:rPr>
        <w:t>,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F92917">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2C3F79" w:rsidRPr="00DE5C36" w:rsidRDefault="002C3F79" w:rsidP="00F92917">
      <w:pPr>
        <w:spacing w:before="120"/>
        <w:rPr>
          <w:rFonts w:ascii="Arial" w:hAnsi="Arial" w:cs="Arial"/>
          <w:sz w:val="22"/>
          <w:szCs w:val="22"/>
        </w:rPr>
      </w:pPr>
      <w:r w:rsidRPr="00DE5C36">
        <w:rPr>
          <w:rFonts w:ascii="Arial" w:hAnsi="Arial" w:cs="Arial"/>
          <w:sz w:val="22"/>
          <w:szCs w:val="22"/>
        </w:rPr>
        <w:t xml:space="preserve">We investigated the performance of the following short read assembly tools: Eland (GAPipeline v0.30, Illumina), Velvet v0.7.16, Mira v2.9.25, Genomics Workbench (CLC Bio) v1.2, Seqman NGen (DNAStar) 1.1, NextGene (Soft Genetics) 1.0 and MAQ v 0.6.8. The input data sets were: human mtDNA, human whole-genome mRNA, E. coli DNA, Herpes simplex and bacteriophage PhiX. The assemblers were assessed for assembly speed and 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DE5C36">
        <w:rPr>
          <w:rStyle w:val="normalchar"/>
          <w:rFonts w:ascii="Arial" w:hAnsi="Arial" w:cs="Arial"/>
          <w:sz w:val="22"/>
          <w:szCs w:val="22"/>
        </w:rPr>
        <w:t xml:space="preserve">There were 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showed significant differences in reads matching against the reference sequence in particular locations. For human data, Seqman NGen, Genomics Workbench and NextGen showed better performance in terms of the number of reads assembled however this may result in less accurate contigs.</w:t>
      </w:r>
    </w:p>
    <w:p w:rsidR="002C3F79" w:rsidRPr="00DE5C36" w:rsidRDefault="002C3F79" w:rsidP="00F92917">
      <w:pPr>
        <w:spacing w:before="120"/>
        <w:rPr>
          <w:rFonts w:ascii="Arial" w:hAnsi="Arial" w:cs="Arial"/>
          <w:b/>
          <w:sz w:val="22"/>
          <w:szCs w:val="22"/>
        </w:rPr>
      </w:pPr>
      <w:r w:rsidRPr="00DE5C36">
        <w:rPr>
          <w:rFonts w:ascii="Arial" w:hAnsi="Arial" w:cs="Arial"/>
          <w:b/>
          <w:sz w:val="22"/>
          <w:szCs w:val="22"/>
        </w:rPr>
        <w:t>Specific Aim 2: Develop and implement NextGen genomic variation and expression analysis workflows</w:t>
      </w:r>
    </w:p>
    <w:p w:rsidR="002C3F79" w:rsidRPr="00DE5C36" w:rsidRDefault="008D4119" w:rsidP="00F92917">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1B620D" w:rsidRPr="00DE5C36" w:rsidRDefault="001B620D" w:rsidP="00F92917">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Pr="00DE5C36">
        <w:rPr>
          <w:rFonts w:ascii="Arial" w:hAnsi="Arial" w:cs="Arial"/>
          <w:sz w:val="22"/>
          <w:szCs w:val="22"/>
        </w:rPr>
        <w:t xml:space="preserve">has been deployed, providing 80%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5417" w:rsidRDefault="00775417" w:rsidP="00081495">
      <w:r>
        <w:separator/>
      </w:r>
    </w:p>
  </w:endnote>
  <w:endnote w:type="continuationSeparator" w:id="1">
    <w:p w:rsidR="00775417" w:rsidRDefault="00775417"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5417" w:rsidRDefault="00775417" w:rsidP="00081495">
      <w:r>
        <w:separator/>
      </w:r>
    </w:p>
  </w:footnote>
  <w:footnote w:type="continuationSeparator" w:id="1">
    <w:p w:rsidR="00775417" w:rsidRDefault="00775417"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27E2"/>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6E96"/>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0ED3"/>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A4A"/>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2F0"/>
    <w:rsid w:val="00526C32"/>
    <w:rsid w:val="005276DB"/>
    <w:rsid w:val="00527845"/>
    <w:rsid w:val="005310FB"/>
    <w:rsid w:val="00535FBB"/>
    <w:rsid w:val="005420FB"/>
    <w:rsid w:val="00546193"/>
    <w:rsid w:val="0054654D"/>
    <w:rsid w:val="0054712B"/>
    <w:rsid w:val="0054791F"/>
    <w:rsid w:val="005502E8"/>
    <w:rsid w:val="0055092E"/>
    <w:rsid w:val="00551C2E"/>
    <w:rsid w:val="00553B79"/>
    <w:rsid w:val="00554FBC"/>
    <w:rsid w:val="00556093"/>
    <w:rsid w:val="005565AD"/>
    <w:rsid w:val="005600AB"/>
    <w:rsid w:val="0056091E"/>
    <w:rsid w:val="00560B95"/>
    <w:rsid w:val="00565235"/>
    <w:rsid w:val="0056573D"/>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48FB"/>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59F"/>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0D4B"/>
    <w:rsid w:val="00752535"/>
    <w:rsid w:val="00752682"/>
    <w:rsid w:val="00754F52"/>
    <w:rsid w:val="00757F52"/>
    <w:rsid w:val="00760328"/>
    <w:rsid w:val="00760AAB"/>
    <w:rsid w:val="007636B2"/>
    <w:rsid w:val="00763960"/>
    <w:rsid w:val="00767A5E"/>
    <w:rsid w:val="007714F0"/>
    <w:rsid w:val="00771D47"/>
    <w:rsid w:val="007722A9"/>
    <w:rsid w:val="0077358B"/>
    <w:rsid w:val="00775417"/>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1399"/>
    <w:rsid w:val="007E2208"/>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67FBF"/>
    <w:rsid w:val="00870B93"/>
    <w:rsid w:val="008718BF"/>
    <w:rsid w:val="008739E0"/>
    <w:rsid w:val="00873D80"/>
    <w:rsid w:val="00875908"/>
    <w:rsid w:val="00877816"/>
    <w:rsid w:val="00880811"/>
    <w:rsid w:val="008857D8"/>
    <w:rsid w:val="0088591F"/>
    <w:rsid w:val="00887C84"/>
    <w:rsid w:val="00892E0A"/>
    <w:rsid w:val="00894318"/>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44B1"/>
    <w:rsid w:val="00906F2E"/>
    <w:rsid w:val="009072EE"/>
    <w:rsid w:val="00912644"/>
    <w:rsid w:val="0091365F"/>
    <w:rsid w:val="009144BC"/>
    <w:rsid w:val="00914B31"/>
    <w:rsid w:val="00914F21"/>
    <w:rsid w:val="00917951"/>
    <w:rsid w:val="00917F95"/>
    <w:rsid w:val="0092081F"/>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5EE4"/>
    <w:rsid w:val="00956493"/>
    <w:rsid w:val="0095743E"/>
    <w:rsid w:val="00961D6F"/>
    <w:rsid w:val="00962D31"/>
    <w:rsid w:val="009706C6"/>
    <w:rsid w:val="00970AB5"/>
    <w:rsid w:val="00983CDB"/>
    <w:rsid w:val="00990DD8"/>
    <w:rsid w:val="00991DE3"/>
    <w:rsid w:val="009940D4"/>
    <w:rsid w:val="0099487D"/>
    <w:rsid w:val="00995DA1"/>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2316"/>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47CC"/>
    <w:rsid w:val="00B05FD4"/>
    <w:rsid w:val="00B07555"/>
    <w:rsid w:val="00B10BA2"/>
    <w:rsid w:val="00B113B7"/>
    <w:rsid w:val="00B12016"/>
    <w:rsid w:val="00B124DA"/>
    <w:rsid w:val="00B146C1"/>
    <w:rsid w:val="00B14901"/>
    <w:rsid w:val="00B16732"/>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869"/>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66EA6"/>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A52"/>
    <w:rsid w:val="00DA0D0D"/>
    <w:rsid w:val="00DA16DC"/>
    <w:rsid w:val="00DA6914"/>
    <w:rsid w:val="00DB2339"/>
    <w:rsid w:val="00DB298D"/>
    <w:rsid w:val="00DB464E"/>
    <w:rsid w:val="00DB4D2E"/>
    <w:rsid w:val="00DB6D6A"/>
    <w:rsid w:val="00DB6DD4"/>
    <w:rsid w:val="00DB7C9B"/>
    <w:rsid w:val="00DC249D"/>
    <w:rsid w:val="00DC36CF"/>
    <w:rsid w:val="00DC386D"/>
    <w:rsid w:val="00DC40A9"/>
    <w:rsid w:val="00DD1D19"/>
    <w:rsid w:val="00DD2FCB"/>
    <w:rsid w:val="00DD3EA2"/>
    <w:rsid w:val="00DD744A"/>
    <w:rsid w:val="00DD7CAA"/>
    <w:rsid w:val="00DE1994"/>
    <w:rsid w:val="00DE475D"/>
    <w:rsid w:val="00DE5203"/>
    <w:rsid w:val="00DE5B84"/>
    <w:rsid w:val="00DE5C36"/>
    <w:rsid w:val="00DE7BF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0E67"/>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6D24"/>
    <w:rsid w:val="00E97263"/>
    <w:rsid w:val="00E97FCD"/>
    <w:rsid w:val="00EA053E"/>
    <w:rsid w:val="00EA0CE0"/>
    <w:rsid w:val="00EA12D2"/>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6EBD"/>
    <w:rsid w:val="00F57CE4"/>
    <w:rsid w:val="00F6106A"/>
    <w:rsid w:val="00F6253B"/>
    <w:rsid w:val="00F6461D"/>
    <w:rsid w:val="00F71D3C"/>
    <w:rsid w:val="00F72B00"/>
    <w:rsid w:val="00F761EC"/>
    <w:rsid w:val="00F81419"/>
    <w:rsid w:val="00F81F2E"/>
    <w:rsid w:val="00F825FC"/>
    <w:rsid w:val="00F826D5"/>
    <w:rsid w:val="00F82B32"/>
    <w:rsid w:val="00F84453"/>
    <w:rsid w:val="00F86B7C"/>
    <w:rsid w:val="00F913A7"/>
    <w:rsid w:val="00F9291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hyperlink" Target="http://jbrowse.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ncbi.nlm.nih.gov/Traces/sra/sra.cgi" TargetMode="External"/><Relationship Id="rId23" Type="http://schemas.openxmlformats.org/officeDocument/2006/relationships/hyperlink" Target="http://www.dojotoolkit.org" TargetMode="External"/><Relationship Id="rId10" Type="http://schemas.openxmlformats.org/officeDocument/2006/relationships/hyperlink" Target="http://www.pacificbiosciences.com" TargetMode="External"/><Relationship Id="rId19" Type="http://schemas.openxmlformats.org/officeDocument/2006/relationships/hyperlink" Target="http://bio.ccs.miami.edu/ibis" TargetMode="External"/><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image" Target="media/image2.emf"/><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10281</Words>
  <Characters>58602</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68746</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2</cp:revision>
  <dcterms:created xsi:type="dcterms:W3CDTF">2009-04-26T04:35:00Z</dcterms:created>
  <dcterms:modified xsi:type="dcterms:W3CDTF">2009-04-26T04:35:00Z</dcterms:modified>
</cp:coreProperties>
</file>