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06-HG-101</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296908" w:rsidRPr="00DE5C36">
        <w:rPr>
          <w:rFonts w:ascii="Arial" w:hAnsi="Arial" w:cs="Arial"/>
          <w:sz w:val="22"/>
          <w:szCs w:val="22"/>
        </w:rPr>
        <w:fldChar w:fldCharType="separate"/>
      </w:r>
      <w:r w:rsidR="00914B31">
        <w:rPr>
          <w:rFonts w:ascii="Arial" w:hAnsi="Arial" w:cs="Arial"/>
          <w:sz w:val="22"/>
          <w:szCs w:val="22"/>
        </w:rPr>
        <w:t>(1)</w:t>
      </w:r>
      <w:r w:rsidR="00296908"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w:t>
      </w:r>
      <w:r w:rsidR="00867FBF">
        <w:rPr>
          <w:rFonts w:ascii="Arial" w:hAnsi="Arial" w:cs="Arial"/>
          <w:b/>
          <w:sz w:val="22"/>
          <w:szCs w:val="22"/>
        </w:rPr>
        <w:t xml:space="preserve">by </w:t>
      </w:r>
      <w:r w:rsidR="00867FBF" w:rsidRPr="00867FBF">
        <w:rPr>
          <w:rFonts w:ascii="Arial" w:hAnsi="Arial" w:cs="Arial"/>
          <w:b/>
          <w:sz w:val="22"/>
          <w:szCs w:val="22"/>
        </w:rPr>
        <w:t>advances in high-throughput analysis, strategies for mitigating systemic bias, and new sequence assembly and downstream analysis pipelines.</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Roche/454 </w:t>
      </w:r>
      <w:r w:rsidR="00914B31">
        <w:rPr>
          <w:rFonts w:ascii="Arial" w:hAnsi="Arial" w:cs="Arial"/>
          <w:sz w:val="22"/>
          <w:szCs w:val="22"/>
        </w:rPr>
        <w:t>a</w:t>
      </w:r>
      <w:r w:rsidR="00D1491E" w:rsidRPr="00DE5C36">
        <w:rPr>
          <w:rFonts w:ascii="Arial" w:hAnsi="Arial" w:cs="Arial"/>
          <w:sz w:val="22"/>
          <w:szCs w:val="22"/>
        </w:rPr>
        <w:t>nd ABI/SOLiD</w:t>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The currently available bioinformatics tools fall into four categories: reference aligners, de novo assemblers, variant-discovery tools and alignment viewers. Among the reference aligners are Eland (GAPipeline v0.30, Illumina), Mira, Genomics Workbench (CLC Bio), Seqman NGen (DNAStar), NextGene (Soft Genetics), MAQ and Shrimp. De novo assemblers include Edina</w:t>
      </w:r>
      <w:r w:rsidR="0091365F">
        <w:rPr>
          <w:rFonts w:ascii="Arial" w:hAnsi="Arial" w:cs="Arial"/>
          <w:sz w:val="22"/>
          <w:szCs w:val="22"/>
        </w:rPr>
        <w:t>,</w:t>
      </w:r>
      <w:r w:rsidRPr="00DE5C36">
        <w:rPr>
          <w:rFonts w:ascii="Arial" w:hAnsi="Arial" w:cs="Arial"/>
          <w:sz w:val="22"/>
          <w:szCs w:val="22"/>
        </w:rPr>
        <w:t xml:space="preserve"> EULER-SR, SHARCGS, SSAKE,</w:t>
      </w:r>
      <w:r w:rsidRPr="00DE5C36">
        <w:rPr>
          <w:rFonts w:ascii="Arial" w:hAnsi="Arial" w:cs="Arial"/>
          <w:sz w:val="22"/>
          <w:szCs w:val="22"/>
          <w:vertAlign w:val="superscript"/>
        </w:rPr>
        <w:t xml:space="preserve"> </w:t>
      </w:r>
      <w:r w:rsidRPr="00DE5C36">
        <w:rPr>
          <w:rFonts w:ascii="Arial" w:hAnsi="Arial" w:cs="Arial"/>
          <w:sz w:val="22"/>
          <w:szCs w:val="22"/>
        </w:rPr>
        <w:t xml:space="preserve">Velvet, and SOAPdenovo. Some NextGen statistical data-analysis tools are also available, such as JMP Genomics.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w:t>
      </w:r>
      <w:r w:rsidRPr="00DE5C36">
        <w:rPr>
          <w:rFonts w:ascii="Arial" w:hAnsi="Arial" w:cs="Arial"/>
          <w:sz w:val="22"/>
          <w:szCs w:val="22"/>
        </w:rPr>
        <w:lastRenderedPageBreak/>
        <w:t xml:space="preserve">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296908" w:rsidP="00F92917">
      <w:pPr>
        <w:pStyle w:val="NormalWeb"/>
        <w:keepNext/>
        <w:spacing w:before="120" w:beforeAutospacing="0" w:after="0" w:afterAutospacing="0"/>
        <w:jc w:val="center"/>
        <w:rPr>
          <w:rFonts w:ascii="Arial" w:hAnsi="Arial" w:cs="Arial"/>
          <w:sz w:val="22"/>
          <w:szCs w:val="22"/>
        </w:rPr>
      </w:pPr>
      <w:r w:rsidRPr="00296908">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(2)</w:t>
      </w:r>
      <w:r w:rsidR="00296908"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(3)</w:t>
      </w:r>
      <w:r w:rsidR="00296908"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296908"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 </w:instrText>
      </w:r>
      <w:r w:rsidR="00296908">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EN.CITE.DATA </w:instrText>
      </w:r>
      <w:r w:rsidR="00296908">
        <w:rPr>
          <w:rFonts w:ascii="Arial" w:hAnsi="Arial" w:cs="Arial"/>
          <w:sz w:val="22"/>
          <w:szCs w:val="22"/>
        </w:rPr>
      </w:r>
      <w:r w:rsidR="00296908">
        <w:rPr>
          <w:rFonts w:ascii="Arial" w:hAnsi="Arial" w:cs="Arial"/>
          <w:sz w:val="22"/>
          <w:szCs w:val="22"/>
        </w:rPr>
        <w:fldChar w:fldCharType="end"/>
      </w:r>
      <w:r w:rsidR="00296908" w:rsidRPr="00315885">
        <w:rPr>
          <w:rFonts w:ascii="Arial" w:hAnsi="Arial" w:cs="Arial"/>
          <w:sz w:val="22"/>
          <w:szCs w:val="22"/>
        </w:rPr>
      </w:r>
      <w:r w:rsidR="00296908" w:rsidRPr="00315885">
        <w:rPr>
          <w:rFonts w:ascii="Arial" w:hAnsi="Arial" w:cs="Arial"/>
          <w:sz w:val="22"/>
          <w:szCs w:val="22"/>
        </w:rPr>
        <w:fldChar w:fldCharType="separate"/>
      </w:r>
      <w:r w:rsidR="00EA12D2">
        <w:rPr>
          <w:rFonts w:ascii="Arial" w:hAnsi="Arial" w:cs="Arial"/>
          <w:sz w:val="22"/>
          <w:szCs w:val="22"/>
        </w:rPr>
        <w:t>(4)</w:t>
      </w:r>
      <w:r w:rsidR="00296908"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lastRenderedPageBreak/>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(5)</w:t>
      </w:r>
      <w:r w:rsidR="00296908"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(6)</w:t>
      </w:r>
      <w:r w:rsidR="00296908"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296908"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 </w:instrText>
      </w:r>
      <w:r w:rsidR="00296908">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EN.CITE.DATA </w:instrText>
      </w:r>
      <w:r w:rsidR="00296908">
        <w:rPr>
          <w:rFonts w:ascii="Arial" w:hAnsi="Arial" w:cs="Arial"/>
          <w:sz w:val="22"/>
          <w:szCs w:val="22"/>
        </w:rPr>
      </w:r>
      <w:r w:rsidR="00296908">
        <w:rPr>
          <w:rFonts w:ascii="Arial" w:hAnsi="Arial" w:cs="Arial"/>
          <w:sz w:val="22"/>
          <w:szCs w:val="22"/>
        </w:rPr>
        <w:fldChar w:fldCharType="end"/>
      </w:r>
      <w:r w:rsidR="00296908" w:rsidRPr="00DE5C36">
        <w:rPr>
          <w:rFonts w:ascii="Arial" w:hAnsi="Arial" w:cs="Arial"/>
          <w:sz w:val="22"/>
          <w:szCs w:val="22"/>
        </w:rPr>
      </w:r>
      <w:r w:rsidR="00296908" w:rsidRPr="00DE5C36">
        <w:rPr>
          <w:rFonts w:ascii="Arial" w:hAnsi="Arial" w:cs="Arial"/>
          <w:sz w:val="22"/>
          <w:szCs w:val="22"/>
        </w:rPr>
        <w:fldChar w:fldCharType="separate"/>
      </w:r>
      <w:r w:rsidR="00EA12D2">
        <w:rPr>
          <w:rFonts w:ascii="Arial" w:hAnsi="Arial" w:cs="Arial"/>
          <w:sz w:val="22"/>
          <w:szCs w:val="22"/>
        </w:rPr>
        <w:t>(7)</w:t>
      </w:r>
      <w:r w:rsidR="00296908"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r w:rsidR="009845F3">
        <w:rPr>
          <w:rFonts w:ascii="Arial" w:hAnsi="Arial" w:cs="Arial"/>
          <w:b/>
          <w:sz w:val="22"/>
          <w:szCs w:val="22"/>
        </w:rPr>
        <w:t xml:space="preserve"> and other complex diseases</w:t>
      </w:r>
      <w:r w:rsidR="00315885" w:rsidRPr="00DB6D6A">
        <w:rPr>
          <w:rFonts w:ascii="Arial" w:hAnsi="Arial" w:cs="Arial"/>
          <w:b/>
          <w:sz w:val="22"/>
          <w:szCs w:val="22"/>
        </w:rPr>
        <w:t>.</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00296908"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 </w:instrText>
      </w:r>
      <w:r w:rsidR="00296908">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EN.CITE.DATA </w:instrText>
      </w:r>
      <w:r w:rsidR="00296908">
        <w:rPr>
          <w:rFonts w:ascii="Arial" w:hAnsi="Arial" w:cs="Arial"/>
          <w:sz w:val="22"/>
          <w:szCs w:val="22"/>
        </w:rPr>
      </w:r>
      <w:r w:rsidR="00296908">
        <w:rPr>
          <w:rFonts w:ascii="Arial" w:hAnsi="Arial" w:cs="Arial"/>
          <w:sz w:val="22"/>
          <w:szCs w:val="22"/>
        </w:rPr>
        <w:fldChar w:fldCharType="end"/>
      </w:r>
      <w:r w:rsidR="00296908" w:rsidRPr="00315885">
        <w:rPr>
          <w:rFonts w:ascii="Arial" w:hAnsi="Arial" w:cs="Arial"/>
          <w:sz w:val="22"/>
          <w:szCs w:val="22"/>
        </w:rPr>
      </w:r>
      <w:r w:rsidR="00296908" w:rsidRPr="00315885">
        <w:rPr>
          <w:rFonts w:ascii="Arial" w:hAnsi="Arial" w:cs="Arial"/>
          <w:sz w:val="22"/>
          <w:szCs w:val="22"/>
        </w:rPr>
        <w:fldChar w:fldCharType="separate"/>
      </w:r>
      <w:r w:rsidR="00EA12D2">
        <w:rPr>
          <w:rFonts w:ascii="Arial" w:hAnsi="Arial" w:cs="Arial"/>
          <w:sz w:val="22"/>
          <w:szCs w:val="22"/>
        </w:rPr>
        <w:t>(8, 9)</w:t>
      </w:r>
      <w:r w:rsidR="00296908"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(10)</w:t>
      </w:r>
      <w:r w:rsidR="00296908"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Another approach is to target SNPs of interest in particular individuals early in the design stage of a study or to target specific pathways when analyzing genome-wide data</w:t>
      </w:r>
      <w:r w:rsidR="00914B31">
        <w:rPr>
          <w:rFonts w:ascii="Arial" w:hAnsi="Arial" w:cs="Arial"/>
          <w:color w:val="000000" w:themeColor="text1"/>
          <w:sz w:val="22"/>
          <w:szCs w:val="22"/>
        </w:rPr>
        <w:t xml:space="preserve"> </w:t>
      </w:r>
      <w:r w:rsidRPr="002D3021">
        <w:rPr>
          <w:rFonts w:ascii="Arial" w:hAnsi="Arial" w:cs="Arial"/>
          <w:color w:val="000000" w:themeColor="text1"/>
          <w:sz w:val="22"/>
          <w:szCs w:val="22"/>
        </w:rPr>
        <w:t xml:space="preserve">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296908"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 </w:instrText>
      </w:r>
      <w:r w:rsidR="00296908">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EN.CITE.DATA </w:instrText>
      </w:r>
      <w:r w:rsidR="00296908">
        <w:rPr>
          <w:rFonts w:ascii="Arial" w:hAnsi="Arial" w:cs="Arial"/>
          <w:color w:val="000000" w:themeColor="text1"/>
          <w:sz w:val="22"/>
          <w:szCs w:val="22"/>
        </w:rPr>
      </w:r>
      <w:r w:rsidR="00296908">
        <w:rPr>
          <w:rFonts w:ascii="Arial" w:hAnsi="Arial" w:cs="Arial"/>
          <w:color w:val="000000" w:themeColor="text1"/>
          <w:sz w:val="22"/>
          <w:szCs w:val="22"/>
        </w:rPr>
        <w:fldChar w:fldCharType="end"/>
      </w:r>
      <w:r w:rsidR="00296908" w:rsidRPr="002D3021">
        <w:rPr>
          <w:rFonts w:ascii="Arial" w:hAnsi="Arial" w:cs="Arial"/>
          <w:color w:val="000000" w:themeColor="text1"/>
          <w:sz w:val="22"/>
          <w:szCs w:val="22"/>
        </w:rPr>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(11)</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29690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(12)</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29690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(13)</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29690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(14)</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29690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(15)</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w:t>
      </w:r>
      <w:r w:rsidR="00296908" w:rsidRPr="00296908">
        <w:rPr>
          <w:rFonts w:ascii="Arial" w:hAnsi="Arial" w:cs="Arial"/>
          <w:b/>
          <w:sz w:val="22"/>
          <w:szCs w:val="22"/>
        </w:rPr>
        <w:t>Bioinformatics fills the space between NextGen sequencing technology and the interpretation of the data by the medical community to ultimately make an impact on human health.</w:t>
      </w:r>
    </w:p>
    <w:p w:rsidR="00A04A22" w:rsidRPr="002D3021" w:rsidRDefault="00A04A22" w:rsidP="00F92917">
      <w:pPr>
        <w:spacing w:before="120"/>
        <w:rPr>
          <w:rFonts w:ascii="Arial" w:hAnsi="Arial" w:cs="Arial"/>
          <w:sz w:val="22"/>
          <w:szCs w:val="22"/>
        </w:rPr>
      </w:pPr>
    </w:p>
    <w:p w:rsidR="00F92917" w:rsidRPr="00DE5C36" w:rsidRDefault="00D00F94" w:rsidP="00F92917">
      <w:pPr>
        <w:spacing w:before="120"/>
        <w:rPr>
          <w:rFonts w:ascii="Arial" w:hAnsi="Arial" w:cs="Arial"/>
          <w:sz w:val="22"/>
          <w:szCs w:val="22"/>
        </w:rPr>
      </w:pPr>
      <w:r w:rsidRPr="00296908">
        <w:rPr>
          <w:rFonts w:ascii="Arial" w:hAnsi="Arial" w:cs="Arial"/>
          <w:sz w:val="22"/>
          <w:szCs w:val="22"/>
        </w:rPr>
        <w:lastRenderedPageBreak/>
        <w:pict>
          <v:shape id="_x0000_i1026" type="#_x0000_t75" style="width:539.3pt;height:355.75pt">
            <v:imagedata r:id="rId14"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(16)</w:t>
      </w:r>
      <w:r w:rsidR="00296908"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and usability of bioinformatics tools </w:t>
      </w:r>
      <w:r w:rsidR="00296908"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96908" w:rsidRPr="00DE5C36">
        <w:rPr>
          <w:rFonts w:ascii="Arial" w:hAnsi="Arial" w:cs="Arial"/>
          <w:b/>
          <w:sz w:val="22"/>
          <w:szCs w:val="22"/>
        </w:rPr>
        <w:fldChar w:fldCharType="separate"/>
      </w:r>
      <w:r w:rsidR="00EA12D2">
        <w:rPr>
          <w:rFonts w:ascii="Arial" w:hAnsi="Arial" w:cs="Arial"/>
          <w:b/>
          <w:sz w:val="22"/>
          <w:szCs w:val="22"/>
        </w:rPr>
        <w:t>(17)</w:t>
      </w:r>
      <w:r w:rsidR="00296908"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w:t>
      </w:r>
      <w:r w:rsidR="009845F3">
        <w:rPr>
          <w:rFonts w:ascii="Arial" w:hAnsi="Arial" w:cs="Arial"/>
          <w:b/>
          <w:sz w:val="22"/>
          <w:szCs w:val="22"/>
        </w:rPr>
        <w:t>urgent</w:t>
      </w:r>
      <w:r w:rsidR="009845F3" w:rsidRPr="00DE5C36">
        <w:rPr>
          <w:rFonts w:ascii="Arial" w:hAnsi="Arial" w:cs="Arial"/>
          <w:b/>
          <w:sz w:val="22"/>
          <w:szCs w:val="22"/>
        </w:rPr>
        <w:t xml:space="preserve"> </w:t>
      </w:r>
      <w:r w:rsidR="00E747D1" w:rsidRPr="00DE5C36">
        <w:rPr>
          <w:rFonts w:ascii="Arial" w:hAnsi="Arial" w:cs="Arial"/>
          <w:b/>
          <w:sz w:val="22"/>
          <w:szCs w:val="22"/>
        </w:rPr>
        <w:t xml:space="preserve">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(18)</w:t>
      </w:r>
      <w:r w:rsidR="00296908"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and TAVERNA with the limitation that service discovery relies upon the accurate and uniform description of biological data types and relations between them, for which there is no commonly-accepted ontology </w:t>
      </w:r>
      <w:r w:rsidR="00296908"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 </w:instrText>
      </w:r>
      <w:r w:rsidR="00296908">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EN.CITE.DATA </w:instrText>
      </w:r>
      <w:r w:rsidR="00296908">
        <w:rPr>
          <w:rFonts w:ascii="Arial" w:hAnsi="Arial" w:cs="Arial"/>
          <w:sz w:val="22"/>
          <w:szCs w:val="22"/>
        </w:rPr>
      </w:r>
      <w:r w:rsidR="00296908">
        <w:rPr>
          <w:rFonts w:ascii="Arial" w:hAnsi="Arial" w:cs="Arial"/>
          <w:sz w:val="22"/>
          <w:szCs w:val="22"/>
        </w:rPr>
        <w:fldChar w:fldCharType="end"/>
      </w:r>
      <w:r w:rsidR="00296908" w:rsidRPr="00DE5C36">
        <w:rPr>
          <w:rFonts w:ascii="Arial" w:hAnsi="Arial" w:cs="Arial"/>
          <w:sz w:val="22"/>
          <w:szCs w:val="22"/>
        </w:rPr>
      </w:r>
      <w:r w:rsidR="00296908" w:rsidRPr="00DE5C36">
        <w:rPr>
          <w:rFonts w:ascii="Arial" w:hAnsi="Arial" w:cs="Arial"/>
          <w:sz w:val="22"/>
          <w:szCs w:val="22"/>
        </w:rPr>
        <w:fldChar w:fldCharType="separate"/>
      </w:r>
      <w:r w:rsidR="00495FFD">
        <w:rPr>
          <w:rFonts w:ascii="Arial" w:hAnsi="Arial" w:cs="Arial"/>
          <w:sz w:val="22"/>
          <w:szCs w:val="22"/>
        </w:rPr>
        <w:t>(19-21)</w:t>
      </w:r>
      <w:r w:rsidR="00296908"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296908" w:rsidRPr="00DE5C36">
        <w:rPr>
          <w:rFonts w:ascii="Arial" w:hAnsi="Arial" w:cs="Arial"/>
          <w:sz w:val="22"/>
          <w:szCs w:val="22"/>
        </w:rPr>
        <w:fldChar w:fldCharType="separate"/>
      </w:r>
      <w:r w:rsidR="00495FFD">
        <w:rPr>
          <w:rFonts w:ascii="Arial" w:hAnsi="Arial" w:cs="Arial"/>
          <w:sz w:val="22"/>
          <w:szCs w:val="22"/>
        </w:rPr>
        <w:t>(22)</w:t>
      </w:r>
      <w:r w:rsidR="00296908"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93670F" w:rsidRPr="00DE5C36">
        <w:rPr>
          <w:rFonts w:ascii="Arial" w:hAnsi="Arial" w:cs="Arial"/>
          <w:sz w:val="22"/>
          <w:szCs w:val="22"/>
        </w:rPr>
        <w:t>and GBrowse</w:t>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lastRenderedPageBreak/>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5"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lastRenderedPageBreak/>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296908"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 </w:instrText>
      </w:r>
      <w:r w:rsidR="00296908">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EN.CITE.DATA </w:instrText>
      </w:r>
      <w:r w:rsidR="00296908">
        <w:rPr>
          <w:rFonts w:ascii="Arial" w:hAnsi="Arial" w:cs="Arial"/>
          <w:b/>
          <w:sz w:val="22"/>
          <w:szCs w:val="22"/>
        </w:rPr>
      </w:r>
      <w:r w:rsidR="00296908">
        <w:rPr>
          <w:rFonts w:ascii="Arial" w:hAnsi="Arial" w:cs="Arial"/>
          <w:b/>
          <w:sz w:val="22"/>
          <w:szCs w:val="22"/>
        </w:rPr>
        <w:fldChar w:fldCharType="end"/>
      </w:r>
      <w:r w:rsidR="00296908" w:rsidRPr="00DE5C36">
        <w:rPr>
          <w:rFonts w:ascii="Arial" w:hAnsi="Arial" w:cs="Arial"/>
          <w:b/>
          <w:sz w:val="22"/>
          <w:szCs w:val="22"/>
        </w:rPr>
      </w:r>
      <w:r w:rsidR="00296908" w:rsidRPr="00DE5C36">
        <w:rPr>
          <w:rFonts w:ascii="Arial" w:hAnsi="Arial" w:cs="Arial"/>
          <w:b/>
          <w:sz w:val="22"/>
          <w:szCs w:val="22"/>
        </w:rPr>
        <w:fldChar w:fldCharType="separate"/>
      </w:r>
      <w:r w:rsidR="00EA12D2">
        <w:rPr>
          <w:rFonts w:ascii="Arial" w:hAnsi="Arial" w:cs="Arial"/>
          <w:b/>
          <w:sz w:val="22"/>
          <w:szCs w:val="22"/>
        </w:rPr>
        <w:t>(4)</w:t>
      </w:r>
      <w:r w:rsidR="00296908"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D00F94" w:rsidP="00F92917">
      <w:pPr>
        <w:spacing w:before="120"/>
        <w:rPr>
          <w:rFonts w:ascii="Arial" w:hAnsi="Arial" w:cs="Arial"/>
          <w:sz w:val="22"/>
          <w:szCs w:val="22"/>
        </w:rPr>
      </w:pPr>
      <w:r w:rsidRPr="00296908">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6"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7E0B3E" w:rsidRDefault="007E0B3E"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lastRenderedPageBreak/>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Inform</w:t>
      </w:r>
      <w:r w:rsidR="00B076C6">
        <w:rPr>
          <w:rFonts w:ascii="Arial" w:hAnsi="Arial" w:cs="Arial"/>
          <w:sz w:val="22"/>
          <w:szCs w:val="22"/>
        </w:rPr>
        <w:t>ation regarding data provenance</w:t>
      </w:r>
      <w:r w:rsidRPr="00DE5C36">
        <w:rPr>
          <w:rFonts w:ascii="Arial" w:hAnsi="Arial" w:cs="Arial"/>
          <w:sz w:val="22"/>
          <w:szCs w:val="22"/>
        </w:rPr>
        <w:t xml:space="preserv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In addition, a log is kept of all project changes and updates. The user can also annotate the project at all levels and search these annotations. Aqwa is similar to the laboratory notebook paradigm employed by the BCJ (Bioinformatics Compu</w:t>
      </w:r>
      <w:r w:rsidR="00495FFD">
        <w:rPr>
          <w:rFonts w:ascii="Arial" w:hAnsi="Arial" w:cs="Arial"/>
          <w:sz w:val="22"/>
          <w:szCs w:val="22"/>
        </w:rPr>
        <w:t>tational Journal) workflow tool</w:t>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296908"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296908" w:rsidRPr="00DE5C36">
        <w:rPr>
          <w:rFonts w:ascii="Arial" w:hAnsi="Arial" w:cs="Arial"/>
          <w:b/>
          <w:sz w:val="22"/>
          <w:szCs w:val="22"/>
        </w:rPr>
        <w:fldChar w:fldCharType="separate"/>
      </w:r>
      <w:r w:rsidR="00495FFD">
        <w:rPr>
          <w:rFonts w:ascii="Arial" w:hAnsi="Arial" w:cs="Arial"/>
          <w:b/>
          <w:sz w:val="22"/>
          <w:szCs w:val="22"/>
        </w:rPr>
        <w:t>(23)</w:t>
      </w:r>
      <w:r w:rsidR="00296908"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 xml:space="preserve">s </w:t>
      </w:r>
      <w:r w:rsidR="00C270B5" w:rsidRPr="00DE5C36">
        <w:rPr>
          <w:rFonts w:ascii="Arial" w:hAnsi="Arial" w:cs="Arial"/>
          <w:sz w:val="22"/>
          <w:szCs w:val="22"/>
        </w:rPr>
        <w:lastRenderedPageBreak/>
        <w:t>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7"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D00F94" w:rsidP="00F92917">
      <w:pPr>
        <w:autoSpaceDE w:val="0"/>
        <w:autoSpaceDN w:val="0"/>
        <w:adjustRightInd w:val="0"/>
        <w:spacing w:before="120"/>
        <w:jc w:val="center"/>
        <w:rPr>
          <w:rFonts w:ascii="Arial" w:hAnsi="Arial" w:cs="Arial"/>
          <w:sz w:val="22"/>
          <w:szCs w:val="22"/>
        </w:rPr>
      </w:pPr>
      <w:r w:rsidRPr="00296908">
        <w:rPr>
          <w:rFonts w:ascii="Arial" w:hAnsi="Arial" w:cs="Arial"/>
          <w:sz w:val="22"/>
          <w:szCs w:val="22"/>
        </w:rPr>
        <w:pict>
          <v:shape id="Picture 2" o:spid="_x0000_i1028" type="#_x0000_t75" alt="view-complete-opaque.png" style="width:402.35pt;height:258.35pt;visibility:visible;mso-wrap-style:square">
            <v:imagedata r:id="rId18"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19"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D00F94" w:rsidP="00F92917">
      <w:pPr>
        <w:keepNext/>
        <w:spacing w:before="120"/>
        <w:jc w:val="center"/>
        <w:rPr>
          <w:rFonts w:ascii="Arial" w:hAnsi="Arial" w:cs="Arial"/>
          <w:sz w:val="22"/>
          <w:szCs w:val="22"/>
        </w:rPr>
      </w:pPr>
      <w:r w:rsidRPr="00296908">
        <w:rPr>
          <w:rFonts w:ascii="Arial" w:hAnsi="Arial" w:cs="Arial"/>
          <w:sz w:val="22"/>
          <w:szCs w:val="22"/>
        </w:rPr>
        <w:pict>
          <v:shape id="Picture 1" o:spid="_x0000_i1029" type="#_x0000_t75" alt="workflow-opaque.png" style="width:392.45pt;height:248.45pt;visibility:visible;mso-wrap-style:square">
            <v:imagedata r:id="rId20"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D00F94" w:rsidP="00F92917">
      <w:pPr>
        <w:spacing w:before="120"/>
        <w:jc w:val="center"/>
        <w:rPr>
          <w:rFonts w:ascii="Arial" w:hAnsi="Arial" w:cs="Arial"/>
          <w:sz w:val="22"/>
          <w:szCs w:val="22"/>
        </w:rPr>
      </w:pPr>
      <w:r w:rsidRPr="00296908">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1"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D00F94" w:rsidP="00F92917">
      <w:pPr>
        <w:pStyle w:val="NormalWeb"/>
        <w:spacing w:before="120" w:beforeAutospacing="0" w:after="0" w:afterAutospacing="0"/>
        <w:jc w:val="center"/>
        <w:rPr>
          <w:rFonts w:ascii="Arial" w:hAnsi="Arial" w:cs="Arial"/>
          <w:sz w:val="22"/>
          <w:szCs w:val="22"/>
        </w:rPr>
      </w:pPr>
      <w:r w:rsidRPr="00296908">
        <w:rPr>
          <w:rFonts w:ascii="Arial" w:hAnsi="Arial" w:cs="Arial"/>
          <w:sz w:val="22"/>
          <w:szCs w:val="22"/>
        </w:rPr>
        <w:lastRenderedPageBreak/>
        <w:pict>
          <v:shape id="_x0000_i1031" type="#_x0000_t75" style="width:386.8pt;height:307.7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2"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3"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w:t>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and Pegasys.</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w:t>
      </w:r>
      <w:r w:rsidR="00B038CB">
        <w:rPr>
          <w:rFonts w:ascii="Arial" w:hAnsi="Arial" w:cs="Arial"/>
          <w:sz w:val="22"/>
          <w:szCs w:val="22"/>
        </w:rPr>
        <w:t xml:space="preserve">ibing bioinformatics workflows </w:t>
      </w:r>
      <w:r w:rsidR="00A0328A" w:rsidRPr="00DE5C36">
        <w:rPr>
          <w:rFonts w:ascii="Arial" w:hAnsi="Arial" w:cs="Arial"/>
          <w:sz w:val="22"/>
          <w:szCs w:val="22"/>
        </w:rPr>
        <w:t>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(17)</w:t>
      </w:r>
      <w:r w:rsidR="00296908"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D00F94" w:rsidP="00F92917">
      <w:pPr>
        <w:spacing w:before="120"/>
        <w:jc w:val="center"/>
        <w:rPr>
          <w:rFonts w:ascii="Arial" w:hAnsi="Arial" w:cs="Arial"/>
          <w:sz w:val="22"/>
          <w:szCs w:val="22"/>
        </w:rPr>
      </w:pPr>
      <w:r w:rsidRPr="00296908">
        <w:rPr>
          <w:rFonts w:ascii="Arial" w:hAnsi="Arial" w:cs="Arial"/>
          <w:sz w:val="22"/>
          <w:szCs w:val="22"/>
        </w:rPr>
        <w:lastRenderedPageBreak/>
        <w:pict>
          <v:shape id="_x0000_i1032" type="#_x0000_t75" style="width:517.4pt;height:288.7pt">
            <v:imagedata r:id="rId24"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b/>
          <w:sz w:val="22"/>
          <w:szCs w:val="22"/>
        </w:rPr>
      </w:pPr>
      <w:r w:rsidRPr="00DE5C36">
        <w:rPr>
          <w:rFonts w:ascii="Arial" w:hAnsi="Arial" w:cs="Arial"/>
          <w:sz w:val="22"/>
          <w:szCs w:val="22"/>
        </w:rPr>
        <w:t xml:space="preserve">We </w:t>
      </w:r>
      <w:r w:rsidR="00CB113B">
        <w:rPr>
          <w:rFonts w:ascii="Arial" w:hAnsi="Arial" w:cs="Arial"/>
          <w:sz w:val="22"/>
          <w:szCs w:val="22"/>
        </w:rPr>
        <w:t xml:space="preserve">have started </w:t>
      </w:r>
      <w:r w:rsidRPr="00DE5C36">
        <w:rPr>
          <w:rFonts w:ascii="Arial" w:hAnsi="Arial" w:cs="Arial"/>
          <w:sz w:val="22"/>
          <w:szCs w:val="22"/>
        </w:rPr>
        <w:t>investigat</w:t>
      </w:r>
      <w:r w:rsidR="00CB113B">
        <w:rPr>
          <w:rFonts w:ascii="Arial" w:hAnsi="Arial" w:cs="Arial"/>
          <w:sz w:val="22"/>
          <w:szCs w:val="22"/>
        </w:rPr>
        <w:t>ing</w:t>
      </w:r>
      <w:r w:rsidRPr="00DE5C36">
        <w:rPr>
          <w:rFonts w:ascii="Arial" w:hAnsi="Arial" w:cs="Arial"/>
          <w:sz w:val="22"/>
          <w:szCs w:val="22"/>
        </w:rPr>
        <w:t xml:space="preserve"> the performance of the following short read assembly tools: Eland (GAPipeline v0.30, Illumina), Velvet v0.7.16, Mira v2.9.25, Genomics Workbench (CLC Bio) v1.2, Seqman NGen (DNAStar) 1.1, NextGene (Soft Genetics) 1.0 and MAQ v 0.6.8. The input data sets </w:t>
      </w:r>
      <w:r w:rsidR="00CB113B">
        <w:rPr>
          <w:rFonts w:ascii="Arial" w:hAnsi="Arial" w:cs="Arial"/>
          <w:sz w:val="22"/>
          <w:szCs w:val="22"/>
        </w:rPr>
        <w:t>are</w:t>
      </w:r>
      <w:r w:rsidRPr="00DE5C36">
        <w:rPr>
          <w:rFonts w:ascii="Arial" w:hAnsi="Arial" w:cs="Arial"/>
          <w:sz w:val="22"/>
          <w:szCs w:val="22"/>
        </w:rPr>
        <w:t xml:space="preserve">: human mtDNA, human whole-genome mRNA, E. coli DNA, Herpes simplex and bacteriophage PhiX. The assemblers </w:t>
      </w:r>
      <w:r w:rsidR="00CB113B">
        <w:rPr>
          <w:rFonts w:ascii="Arial" w:hAnsi="Arial" w:cs="Arial"/>
          <w:sz w:val="22"/>
          <w:szCs w:val="22"/>
        </w:rPr>
        <w:t>are being</w:t>
      </w:r>
      <w:r w:rsidR="00CB113B" w:rsidRPr="00DE5C36">
        <w:rPr>
          <w:rFonts w:ascii="Arial" w:hAnsi="Arial" w:cs="Arial"/>
          <w:sz w:val="22"/>
          <w:szCs w:val="22"/>
        </w:rPr>
        <w:t xml:space="preserve"> </w:t>
      </w:r>
      <w:r w:rsidRPr="00DE5C36">
        <w:rPr>
          <w:rFonts w:ascii="Arial" w:hAnsi="Arial" w:cs="Arial"/>
          <w:sz w:val="22"/>
          <w:szCs w:val="22"/>
        </w:rPr>
        <w:t xml:space="preserve">assessed for assembly speed and capacity in terms of the maximum number of reads that can be effectively assembled using relatively high-end computer hardware. </w:t>
      </w:r>
      <w:r w:rsidR="00CB113B">
        <w:rPr>
          <w:rFonts w:ascii="Arial" w:hAnsi="Arial" w:cs="Arial"/>
          <w:sz w:val="22"/>
          <w:szCs w:val="22"/>
        </w:rPr>
        <w:t>We are comparing the a</w:t>
      </w:r>
      <w:r w:rsidRPr="00DE5C36">
        <w:rPr>
          <w:rFonts w:ascii="Arial" w:hAnsi="Arial" w:cs="Arial"/>
          <w:sz w:val="22"/>
          <w:szCs w:val="22"/>
        </w:rPr>
        <w:t xml:space="preserve">ssemblies produced by the different programs </w:t>
      </w:r>
      <w:r w:rsidR="00CB113B">
        <w:rPr>
          <w:rFonts w:ascii="Arial" w:hAnsi="Arial" w:cs="Arial"/>
          <w:sz w:val="22"/>
          <w:szCs w:val="22"/>
        </w:rPr>
        <w:t>and determining</w:t>
      </w:r>
      <w:r w:rsidRPr="00DE5C36">
        <w:rPr>
          <w:rFonts w:ascii="Arial" w:hAnsi="Arial" w:cs="Arial"/>
          <w:sz w:val="22"/>
          <w:szCs w:val="22"/>
        </w:rPr>
        <w:t xml:space="preserve">  a consensus  based on read identity and divergence from the relevant reference sequence. </w:t>
      </w:r>
      <w:r w:rsidR="00CB113B">
        <w:rPr>
          <w:rFonts w:ascii="Arial" w:hAnsi="Arial" w:cs="Arial"/>
          <w:sz w:val="22"/>
          <w:szCs w:val="22"/>
        </w:rPr>
        <w:t>Thus far in our analysis, t</w:t>
      </w:r>
      <w:r w:rsidRPr="00DE5C36">
        <w:rPr>
          <w:rStyle w:val="normalchar"/>
          <w:rFonts w:ascii="Arial" w:hAnsi="Arial" w:cs="Arial"/>
          <w:sz w:val="22"/>
          <w:szCs w:val="22"/>
        </w:rPr>
        <w:t xml:space="preserve">here </w:t>
      </w:r>
      <w:r w:rsidR="00CB113B">
        <w:rPr>
          <w:rStyle w:val="normalchar"/>
          <w:rFonts w:ascii="Arial" w:hAnsi="Arial" w:cs="Arial"/>
          <w:sz w:val="22"/>
          <w:szCs w:val="22"/>
        </w:rPr>
        <w:t xml:space="preserve">are </w:t>
      </w:r>
      <w:r w:rsidRPr="00DE5C36">
        <w:rPr>
          <w:rStyle w:val="normalchar"/>
          <w:rFonts w:ascii="Arial" w:hAnsi="Arial" w:cs="Arial"/>
          <w:sz w:val="22"/>
          <w:szCs w:val="22"/>
        </w:rPr>
        <w:t xml:space="preserve">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w:t>
      </w:r>
      <w:r w:rsidR="00CB113B">
        <w:rPr>
          <w:rStyle w:val="normalchar"/>
          <w:rFonts w:ascii="Arial" w:hAnsi="Arial" w:cs="Arial"/>
          <w:sz w:val="22"/>
          <w:szCs w:val="22"/>
        </w:rPr>
        <w:t>show</w:t>
      </w:r>
      <w:r w:rsidRPr="00DE5C36">
        <w:rPr>
          <w:rStyle w:val="normalchar"/>
          <w:rFonts w:ascii="Arial" w:hAnsi="Arial" w:cs="Arial"/>
          <w:sz w:val="22"/>
          <w:szCs w:val="22"/>
        </w:rPr>
        <w:t xml:space="preserve"> significant differences in reads matching against the reference sequence in particular locations. </w:t>
      </w: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1B620D"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00CB113B">
        <w:rPr>
          <w:rFonts w:ascii="Arial" w:hAnsi="Arial" w:cs="Arial"/>
          <w:sz w:val="22"/>
          <w:szCs w:val="22"/>
        </w:rPr>
        <w:t>will soon be</w:t>
      </w:r>
      <w:r w:rsidRPr="00DE5C36">
        <w:rPr>
          <w:rFonts w:ascii="Arial" w:hAnsi="Arial" w:cs="Arial"/>
          <w:sz w:val="22"/>
          <w:szCs w:val="22"/>
        </w:rPr>
        <w:t xml:space="preserve"> deployed, providing</w:t>
      </w:r>
      <w:r w:rsidR="00C11C63">
        <w:rPr>
          <w:rFonts w:ascii="Arial" w:hAnsi="Arial" w:cs="Arial"/>
          <w:sz w:val="22"/>
          <w:szCs w:val="22"/>
        </w:rPr>
        <w:t xml:space="preserve"> most</w:t>
      </w:r>
      <w:r w:rsidRPr="00DE5C36">
        <w:rPr>
          <w:rFonts w:ascii="Arial" w:hAnsi="Arial" w:cs="Arial"/>
          <w:sz w:val="22"/>
          <w:szCs w:val="22"/>
        </w:rPr>
        <w:t xml:space="preserve">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75A1" w:rsidRDefault="000175A1" w:rsidP="00081495">
      <w:r>
        <w:separator/>
      </w:r>
    </w:p>
  </w:endnote>
  <w:endnote w:type="continuationSeparator" w:id="1">
    <w:p w:rsidR="000175A1" w:rsidRDefault="000175A1"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75A1" w:rsidRDefault="000175A1" w:rsidP="00081495">
      <w:r>
        <w:separator/>
      </w:r>
    </w:p>
  </w:footnote>
  <w:footnote w:type="continuationSeparator" w:id="1">
    <w:p w:rsidR="000175A1" w:rsidRDefault="000175A1"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trackRevisions/>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07CB2"/>
    <w:rsid w:val="0001530E"/>
    <w:rsid w:val="000158A6"/>
    <w:rsid w:val="000175A1"/>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164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27E2"/>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6E96"/>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0ED3"/>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57770"/>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6908"/>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013"/>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0AD"/>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0762"/>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2218"/>
    <w:rsid w:val="00413A48"/>
    <w:rsid w:val="00416765"/>
    <w:rsid w:val="00416C92"/>
    <w:rsid w:val="00432F31"/>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95FFD"/>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654D"/>
    <w:rsid w:val="0054712B"/>
    <w:rsid w:val="0054791F"/>
    <w:rsid w:val="005502E8"/>
    <w:rsid w:val="0055092E"/>
    <w:rsid w:val="00551C2E"/>
    <w:rsid w:val="00553B79"/>
    <w:rsid w:val="00554FBC"/>
    <w:rsid w:val="00556093"/>
    <w:rsid w:val="005565AD"/>
    <w:rsid w:val="005600AB"/>
    <w:rsid w:val="0056091E"/>
    <w:rsid w:val="00560B95"/>
    <w:rsid w:val="00562DB0"/>
    <w:rsid w:val="00565235"/>
    <w:rsid w:val="0056573D"/>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48FB"/>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1F2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0D4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0B3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67FBF"/>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44B1"/>
    <w:rsid w:val="00906F2E"/>
    <w:rsid w:val="009072EE"/>
    <w:rsid w:val="00912644"/>
    <w:rsid w:val="0091365F"/>
    <w:rsid w:val="009144BC"/>
    <w:rsid w:val="00914B31"/>
    <w:rsid w:val="00914F21"/>
    <w:rsid w:val="00917951"/>
    <w:rsid w:val="00917F95"/>
    <w:rsid w:val="0092081F"/>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706C6"/>
    <w:rsid w:val="00970AB5"/>
    <w:rsid w:val="00983CDB"/>
    <w:rsid w:val="009845F3"/>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2316"/>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38CB"/>
    <w:rsid w:val="00B047CC"/>
    <w:rsid w:val="00B05FD4"/>
    <w:rsid w:val="00B07555"/>
    <w:rsid w:val="00B076C6"/>
    <w:rsid w:val="00B10BA2"/>
    <w:rsid w:val="00B113B7"/>
    <w:rsid w:val="00B12016"/>
    <w:rsid w:val="00B124DA"/>
    <w:rsid w:val="00B146C1"/>
    <w:rsid w:val="00B14901"/>
    <w:rsid w:val="00B16732"/>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869"/>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11C63"/>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113B"/>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0F94"/>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0F6F"/>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A52"/>
    <w:rsid w:val="00DA0D0D"/>
    <w:rsid w:val="00DA16DC"/>
    <w:rsid w:val="00DA6914"/>
    <w:rsid w:val="00DB2339"/>
    <w:rsid w:val="00DB298D"/>
    <w:rsid w:val="00DB464E"/>
    <w:rsid w:val="00DB4D2E"/>
    <w:rsid w:val="00DB6D6A"/>
    <w:rsid w:val="00DB6DD4"/>
    <w:rsid w:val="00DB7C9B"/>
    <w:rsid w:val="00DC249D"/>
    <w:rsid w:val="00DC2A45"/>
    <w:rsid w:val="00DC36CF"/>
    <w:rsid w:val="00DC386D"/>
    <w:rsid w:val="00DC40A9"/>
    <w:rsid w:val="00DD1D19"/>
    <w:rsid w:val="00DD2FCB"/>
    <w:rsid w:val="00DD3EA2"/>
    <w:rsid w:val="00DD744A"/>
    <w:rsid w:val="00DD7CAA"/>
    <w:rsid w:val="00DE1994"/>
    <w:rsid w:val="00DE475D"/>
    <w:rsid w:val="00DE5203"/>
    <w:rsid w:val="00DE5B84"/>
    <w:rsid w:val="00DE5C36"/>
    <w:rsid w:val="00DE7BF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4CB"/>
    <w:rsid w:val="00E7661B"/>
    <w:rsid w:val="00E80068"/>
    <w:rsid w:val="00E83329"/>
    <w:rsid w:val="00E84166"/>
    <w:rsid w:val="00E91329"/>
    <w:rsid w:val="00E91885"/>
    <w:rsid w:val="00E96D24"/>
    <w:rsid w:val="00E97263"/>
    <w:rsid w:val="00E97FCD"/>
    <w:rsid w:val="00EA053E"/>
    <w:rsid w:val="00EA0CE0"/>
    <w:rsid w:val="00EA12D2"/>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6EBD"/>
    <w:rsid w:val="00F57CE4"/>
    <w:rsid w:val="00F6106A"/>
    <w:rsid w:val="00F6253B"/>
    <w:rsid w:val="00F6461D"/>
    <w:rsid w:val="00F71D3C"/>
    <w:rsid w:val="00F72B00"/>
    <w:rsid w:val="00F761EC"/>
    <w:rsid w:val="00F81419"/>
    <w:rsid w:val="00F81F2E"/>
    <w:rsid w:val="00F825FC"/>
    <w:rsid w:val="00F826D5"/>
    <w:rsid w:val="00F82B32"/>
    <w:rsid w:val="00F84453"/>
    <w:rsid w:val="00F856E6"/>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 w:type="character" w:styleId="CommentReference">
    <w:name w:val="annotation reference"/>
    <w:basedOn w:val="DefaultParagraphFont"/>
    <w:uiPriority w:val="99"/>
    <w:semiHidden/>
    <w:unhideWhenUsed/>
    <w:rsid w:val="00CB113B"/>
    <w:rPr>
      <w:sz w:val="16"/>
      <w:szCs w:val="16"/>
    </w:rPr>
  </w:style>
  <w:style w:type="paragraph" w:styleId="CommentText">
    <w:name w:val="annotation text"/>
    <w:basedOn w:val="Normal"/>
    <w:link w:val="CommentTextChar"/>
    <w:uiPriority w:val="99"/>
    <w:semiHidden/>
    <w:unhideWhenUsed/>
    <w:rsid w:val="00CB113B"/>
  </w:style>
  <w:style w:type="character" w:customStyle="1" w:styleId="CommentTextChar">
    <w:name w:val="Comment Text Char"/>
    <w:basedOn w:val="DefaultParagraphFont"/>
    <w:link w:val="CommentText"/>
    <w:uiPriority w:val="99"/>
    <w:semiHidden/>
    <w:rsid w:val="00CB113B"/>
    <w:rPr>
      <w:lang w:eastAsia="zh-CN"/>
    </w:rPr>
  </w:style>
  <w:style w:type="paragraph" w:styleId="CommentSubject">
    <w:name w:val="annotation subject"/>
    <w:basedOn w:val="CommentText"/>
    <w:next w:val="CommentText"/>
    <w:link w:val="CommentSubjectChar"/>
    <w:uiPriority w:val="99"/>
    <w:semiHidden/>
    <w:unhideWhenUsed/>
    <w:rsid w:val="00CB113B"/>
    <w:rPr>
      <w:b/>
      <w:bCs/>
    </w:rPr>
  </w:style>
  <w:style w:type="character" w:customStyle="1" w:styleId="CommentSubjectChar">
    <w:name w:val="Comment Subject Char"/>
    <w:basedOn w:val="CommentTextChar"/>
    <w:link w:val="CommentSubject"/>
    <w:uiPriority w:val="99"/>
    <w:semiHidden/>
    <w:rsid w:val="00CB113B"/>
    <w:rPr>
      <w:b/>
      <w:bCs/>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jbrowse.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ncbi.nlm.nih.gov/Traces/sra/sra.cgi" TargetMode="External"/><Relationship Id="rId23" Type="http://schemas.openxmlformats.org/officeDocument/2006/relationships/hyperlink" Target="http://www.dojotoolkit.org" TargetMode="External"/><Relationship Id="rId10" Type="http://schemas.openxmlformats.org/officeDocument/2006/relationships/hyperlink" Target="http://www.pacificbiosciences.com" TargetMode="External"/><Relationship Id="rId19" Type="http://schemas.openxmlformats.org/officeDocument/2006/relationships/hyperlink" Target="http://bio.ccs.miami.edu/ibis" TargetMode="Externa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9457</Words>
  <Characters>53907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63238</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2</cp:revision>
  <dcterms:created xsi:type="dcterms:W3CDTF">2009-04-26T15:05:00Z</dcterms:created>
  <dcterms:modified xsi:type="dcterms:W3CDTF">2009-04-26T15:05:00Z</dcterms:modified>
</cp:coreProperties>
</file>