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(1)</w:t>
      </w:r>
      <w:r w:rsidR="00D964E5">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D964E5">
        <w:rPr>
          <w:rFonts w:ascii="Georgia" w:hAnsi="Georgia"/>
          <w:sz w:val="24"/>
          <w:szCs w:val="24"/>
        </w:rPr>
        <w:fldChar w:fldCharType="separate"/>
      </w:r>
      <w:r w:rsidR="00D964E5">
        <w:rPr>
          <w:rFonts w:ascii="Georgia" w:hAnsi="Georgia"/>
          <w:sz w:val="24"/>
          <w:szCs w:val="24"/>
        </w:rPr>
        <w:t>(2)</w:t>
      </w:r>
      <w:r w:rsidR="00D964E5">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D964E5">
        <w:rPr>
          <w:rFonts w:ascii="Georgia" w:hAnsi="Georgia"/>
          <w:sz w:val="24"/>
          <w:szCs w:val="24"/>
        </w:rPr>
        <w:fldChar w:fldCharType="separate"/>
      </w:r>
      <w:r w:rsidR="00D964E5">
        <w:rPr>
          <w:rFonts w:ascii="Georgia" w:hAnsi="Georgia"/>
          <w:sz w:val="24"/>
          <w:szCs w:val="24"/>
        </w:rPr>
        <w:t>(2, 3)</w:t>
      </w:r>
      <w:r w:rsidR="00D964E5">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(4)</w:t>
      </w:r>
      <w:r w:rsidR="00D964E5">
        <w:rPr>
          <w:rFonts w:ascii="Georgia" w:hAnsi="Georgia"/>
          <w:sz w:val="24"/>
          <w:szCs w:val="24"/>
        </w:rPr>
        <w:fldChar w:fldCharType="end"/>
      </w:r>
      <w:r w:rsidR="00D1491E" w:rsidRPr="009C6530">
        <w:rPr>
          <w:rFonts w:ascii="Georgia" w:hAnsi="Georgia"/>
          <w:sz w:val="24"/>
          <w:szCs w:val="24"/>
        </w:rPr>
        <w:t xml:space="preserve">, Roche/454 </w:t>
      </w:r>
      <w:r w:rsidR="00D964E5">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(5)</w:t>
      </w:r>
      <w:r w:rsidR="00D964E5">
        <w:rPr>
          <w:rFonts w:ascii="Georgia" w:hAnsi="Georgia"/>
          <w:sz w:val="24"/>
          <w:szCs w:val="24"/>
        </w:rPr>
        <w:fldChar w:fldCharType="end"/>
      </w:r>
      <w:r w:rsidR="00D1491E" w:rsidRPr="009C6530">
        <w:rPr>
          <w:rFonts w:ascii="Georgia" w:hAnsi="Georgia"/>
          <w:sz w:val="24"/>
          <w:szCs w:val="24"/>
        </w:rPr>
        <w:t xml:space="preserve"> and ABI/SOLiD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D964E5">
        <w:rPr>
          <w:rFonts w:ascii="Georgia" w:hAnsi="Georgia"/>
          <w:sz w:val="24"/>
          <w:szCs w:val="24"/>
        </w:rPr>
        <w:fldChar w:fldCharType="separate"/>
      </w:r>
      <w:r w:rsidR="00D964E5">
        <w:rPr>
          <w:rFonts w:ascii="Georgia" w:hAnsi="Georgia"/>
          <w:sz w:val="24"/>
          <w:szCs w:val="24"/>
        </w:rPr>
        <w:t>(6)</w:t>
      </w:r>
      <w:r w:rsidR="00D964E5">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the entirety of 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 problems to be solved 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in a plug ‘n play 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623F7A" w:rsidP="003308E3">
      <w:pPr>
        <w:pStyle w:val="NormalWeb"/>
        <w:spacing w:before="120" w:beforeAutospacing="0"/>
        <w:rPr>
          <w:rFonts w:ascii="Georgia" w:hAnsi="Georgia"/>
        </w:rPr>
      </w:pPr>
      <w:r w:rsidRPr="00CE7FCB">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2"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5935AA" w:rsidRPr="005935AA" w:rsidRDefault="005935AA" w:rsidP="003308E3">
      <w:pPr>
        <w:pStyle w:val="NormalWeb"/>
        <w:spacing w:before="120" w:beforeAutospacing="0"/>
        <w:rPr>
          <w:rFonts w:ascii="Georgia" w:hAnsi="Georgia"/>
          <w:shd w:val="pct15" w:color="auto" w:fill="FFFFFF"/>
        </w:rPr>
      </w:pPr>
      <w:r w:rsidRPr="005935AA">
        <w:rPr>
          <w:rFonts w:ascii="Georgia" w:hAnsi="Georgia"/>
          <w:shd w:val="pct15" w:color="auto" w:fill="FFFFFF"/>
        </w:rPr>
        <w:t>(Unnecessary</w:t>
      </w:r>
      <w:r w:rsidR="009558BF">
        <w:rPr>
          <w:rFonts w:ascii="Georgia" w:hAnsi="Georgia"/>
          <w:shd w:val="pct15" w:color="auto" w:fill="FFFFFF"/>
        </w:rPr>
        <w:t>?</w:t>
      </w:r>
      <w:r w:rsidRPr="005935AA">
        <w:rPr>
          <w:rFonts w:ascii="Georgia" w:hAnsi="Georgia"/>
          <w:shd w:val="pct15" w:color="auto" w:fill="FFFFFF"/>
        </w:rPr>
        <w:t>)</w:t>
      </w:r>
      <w:r w:rsidRPr="005935AA">
        <w:rPr>
          <w:rFonts w:ascii="Georgia" w:hAnsi="Georgia"/>
          <w:shd w:val="pct15" w:color="auto" w:fill="FFFFFF"/>
        </w:rPr>
        <w:br/>
        <w:t>Prior to sequencing, NextGen sample preparation varies considerably but usually involves multiple steps taking 2–4 days to complete,</w:t>
      </w:r>
      <w:r w:rsidRPr="005935AA">
        <w:rPr>
          <w:rFonts w:ascii="Georgia" w:hAnsi="Georgia"/>
          <w:shd w:val="pct15" w:color="auto" w:fill="FFFFFF"/>
          <w:vertAlign w:val="superscript"/>
        </w:rPr>
        <w:t xml:space="preserve"> </w:t>
      </w:r>
      <w:r w:rsidRPr="005935AA">
        <w:rPr>
          <w:rFonts w:ascii="Georgia" w:hAnsi="Georgia"/>
          <w:shd w:val="pct15" w:color="auto" w:fill="FFFFFF"/>
        </w:rPr>
        <w:t>depending on the platform. ‘Barcodes’ – unique identifier sequences added to reads – can also be used to analyze multiple samples within the same separate flow-cell lanes</w:t>
      </w:r>
      <w:r w:rsidRPr="005935AA">
        <w:rPr>
          <w:rFonts w:ascii="Georgia" w:hAnsi="Georgia"/>
          <w:shd w:val="pct15" w:color="auto" w:fill="FFFFFF"/>
          <w:vertAlign w:val="superscript"/>
        </w:rPr>
        <w:t xml:space="preserve"> </w:t>
      </w:r>
      <w:r w:rsidRPr="005935AA">
        <w:rPr>
          <w:rFonts w:ascii="Georgia" w:hAnsi="Georgia"/>
          <w:shd w:val="pct15" w:color="auto" w:fill="FFFFFF"/>
        </w:rPr>
        <w:t>or compartments. These barcodes are ligated to individual samples which are then pooled and sequenced and later separated out based on their barcode.</w:t>
      </w:r>
      <w:r w:rsidRPr="005935AA">
        <w:rPr>
          <w:rFonts w:ascii="Georgia" w:hAnsi="Georgia"/>
          <w:shd w:val="pct15" w:color="auto" w:fill="FFFFFF"/>
          <w:vertAlign w:val="superscript"/>
        </w:rPr>
        <w:t xml:space="preserve"> </w:t>
      </w:r>
      <w:r w:rsidRPr="005935AA">
        <w:rPr>
          <w:rFonts w:ascii="Georgia" w:hAnsi="Georgia"/>
          <w:shd w:val="pct15" w:color="auto" w:fill="FFFFFF"/>
        </w:rPr>
        <w:t>Barcode-based multiplexing and other incremental innovations in process streamlining, automation and chemistry</w:t>
      </w:r>
      <w:r w:rsidRPr="005935AA">
        <w:rPr>
          <w:rFonts w:ascii="Georgia" w:hAnsi="Georgia"/>
          <w:shd w:val="pct15" w:color="auto" w:fill="FFFFFF"/>
          <w:vertAlign w:val="superscript"/>
        </w:rPr>
        <w:t xml:space="preserve"> </w:t>
      </w:r>
      <w:r w:rsidRPr="005935AA">
        <w:rPr>
          <w:rFonts w:ascii="Georgia" w:hAnsi="Georgia"/>
          <w:shd w:val="pct15" w:color="auto" w:fill="FFFFFF"/>
        </w:rPr>
        <w:t xml:space="preserve">refinements will continue to reduce costs and sequencing errors. </w:t>
      </w:r>
    </w:p>
    <w:p w:rsidR="005935AA" w:rsidRDefault="005935AA" w:rsidP="003308E3">
      <w:pPr>
        <w:pStyle w:val="NormalWeb"/>
        <w:spacing w:before="120" w:beforeAutospacing="0"/>
        <w:rPr>
          <w:rFonts w:ascii="Georgia" w:hAnsi="Georgia" w:cs="TradeGothic-BoldTwo"/>
          <w:bCs/>
        </w:rPr>
      </w:pPr>
      <w:r w:rsidRPr="005935AA">
        <w:rPr>
          <w:rFonts w:ascii="Georgia" w:hAnsi="Georgia"/>
          <w:shd w:val="pct15" w:color="auto" w:fill="FFFFFF"/>
        </w:rPr>
        <w:t xml:space="preserve">The recent rollout of paired-end reads (a.k.a. mate-paired reads) – short reads that flank a region of known length in the sample sequences - by all of the major platforms has provided a major advance in </w:t>
      </w:r>
      <w:r w:rsidRPr="005935AA">
        <w:rPr>
          <w:rFonts w:ascii="Georgia" w:hAnsi="Georgia"/>
          <w:i/>
          <w:shd w:val="pct15" w:color="auto" w:fill="FFFFFF"/>
        </w:rPr>
        <w:t>de novo</w:t>
      </w:r>
      <w:r w:rsidRPr="005935AA">
        <w:rPr>
          <w:rFonts w:ascii="Georgia" w:hAnsi="Georgia"/>
          <w:shd w:val="pct15" w:color="auto" w:fill="FFFFFF"/>
        </w:rPr>
        <w:t xml:space="preserve"> assembly and the correction of reference alignment errors by eliminating alignments that do not match the size of gap between the paired reads </w:t>
      </w:r>
      <w:r w:rsidR="00D964E5">
        <w:rPr>
          <w:rFonts w:ascii="Georgia" w:hAnsi="Georgia"/>
          <w:shd w:val="pct15" w:color="auto" w:fill="FFFFFF"/>
        </w:rPr>
        <w:fldChar w:fldCharType="begin"/>
      </w:r>
      <w:r w:rsidR="00D964E5">
        <w:rPr>
          <w:rFonts w:ascii="Georgia" w:hAnsi="Georgia"/>
          <w:shd w:val="pct15" w:color="auto" w:fill="FFFFFF"/>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D964E5">
        <w:rPr>
          <w:rFonts w:ascii="Georgia" w:hAnsi="Georgia"/>
          <w:shd w:val="pct15" w:color="auto" w:fill="FFFFFF"/>
        </w:rPr>
        <w:fldChar w:fldCharType="separate"/>
      </w:r>
      <w:r w:rsidR="00D964E5">
        <w:rPr>
          <w:rFonts w:ascii="Georgia" w:hAnsi="Georgia"/>
          <w:shd w:val="pct15" w:color="auto" w:fill="FFFFFF"/>
        </w:rPr>
        <w:t>(7)</w:t>
      </w:r>
      <w:r w:rsidR="00D964E5">
        <w:rPr>
          <w:rFonts w:ascii="Georgia" w:hAnsi="Georgia"/>
          <w:shd w:val="pct15" w:color="auto" w:fill="FFFFFF"/>
        </w:rPr>
        <w:fldChar w:fldCharType="end"/>
      </w:r>
      <w:r w:rsidRPr="005935AA">
        <w:rPr>
          <w:rFonts w:ascii="Georgia" w:hAnsi="Georgia"/>
          <w:shd w:val="pct15" w:color="auto" w:fill="FFFFFF"/>
        </w:rPr>
        <w:t xml:space="preserve">. </w:t>
      </w:r>
      <w:r w:rsidRPr="005935AA">
        <w:rPr>
          <w:rFonts w:ascii="Georgia" w:hAnsi="Georgia" w:cs="TradeGothic-BoldTwo"/>
          <w:bCs/>
          <w:shd w:val="pct15" w:color="auto" w:fill="FFFFFF"/>
        </w:rPr>
        <w:t xml:space="preserve">There is also a strong need for flexible and effective targeted capture methods for isolating reduced genomic subsets – such as genomic regions or exons of candidate genes – implicated in disease prior to NextGen sequencing of multiple individuals. Different approaches have already shown proof-of-concept, such as 10,000-fold </w:t>
      </w:r>
      <w:r w:rsidRPr="005935AA">
        <w:rPr>
          <w:rFonts w:ascii="Georgia" w:hAnsi="Georgia" w:cs="TradeGothic-BoldTwo"/>
          <w:bCs/>
          <w:shd w:val="pct15" w:color="auto" w:fill="FFFFFF"/>
        </w:rPr>
        <w:lastRenderedPageBreak/>
        <w:t xml:space="preserve">enrichment by hybridizing biotinylated BACs (bacterial artificial chromosomes) with targeted segments of genomic DNA </w:t>
      </w:r>
      <w:r w:rsidR="00D964E5">
        <w:rPr>
          <w:rFonts w:ascii="Georgia" w:hAnsi="Georgia" w:cs="TradeGothic-BoldTwo"/>
          <w:bCs/>
          <w:shd w:val="pct15" w:color="auto" w:fill="FFFFFF"/>
        </w:rPr>
        <w:fldChar w:fldCharType="begin"/>
      </w:r>
      <w:r w:rsidR="00D964E5">
        <w:rPr>
          <w:rFonts w:ascii="Georgia" w:hAnsi="Georgia" w:cs="TradeGothic-BoldTwo"/>
          <w:bCs/>
          <w:shd w:val="pct15" w:color="auto" w:fill="FFFFFF"/>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D964E5">
        <w:rPr>
          <w:rFonts w:ascii="Georgia" w:hAnsi="Georgia" w:cs="TradeGothic-BoldTwo"/>
          <w:bCs/>
          <w:shd w:val="pct15" w:color="auto" w:fill="FFFFFF"/>
        </w:rPr>
        <w:fldChar w:fldCharType="separate"/>
      </w:r>
      <w:r w:rsidR="00D964E5">
        <w:rPr>
          <w:rFonts w:ascii="Georgia" w:hAnsi="Georgia" w:cs="TradeGothic-BoldTwo"/>
          <w:bCs/>
          <w:shd w:val="pct15" w:color="auto" w:fill="FFFFFF"/>
        </w:rPr>
        <w:t>(8)</w:t>
      </w:r>
      <w:r w:rsidR="00D964E5">
        <w:rPr>
          <w:rFonts w:ascii="Georgia" w:hAnsi="Georgia" w:cs="TradeGothic-BoldTwo"/>
          <w:bCs/>
          <w:shd w:val="pct15" w:color="auto" w:fill="FFFFFF"/>
        </w:rPr>
        <w:fldChar w:fldCharType="end"/>
      </w:r>
      <w:r w:rsidRPr="005935AA">
        <w:rPr>
          <w:rFonts w:ascii="Georgia" w:hAnsi="Georgia" w:cs="TradeGothic-BoldTwo"/>
          <w:bCs/>
          <w:shd w:val="pct15" w:color="auto" w:fill="FFFFFF"/>
        </w:rPr>
        <w:t xml:space="preserve">, microarray-based enrichment of several kilobase-sized human genomic regions </w:t>
      </w:r>
      <w:r w:rsidR="00D964E5">
        <w:rPr>
          <w:rFonts w:ascii="Georgia" w:hAnsi="Georgia" w:cs="TradeGothic-BoldTwo"/>
          <w:bCs/>
          <w:shd w:val="pct15" w:color="auto" w:fill="FFFFFF"/>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D964E5">
        <w:rPr>
          <w:rFonts w:ascii="Georgia" w:hAnsi="Georgia" w:cs="TradeGothic-BoldTwo"/>
          <w:bCs/>
          <w:shd w:val="pct15" w:color="auto" w:fill="FFFFFF"/>
        </w:rPr>
        <w:instrText xml:space="preserve"> ADDIN EN.CITE </w:instrText>
      </w:r>
      <w:r w:rsidR="00D964E5">
        <w:rPr>
          <w:rFonts w:ascii="Georgia" w:hAnsi="Georgia" w:cs="TradeGothic-BoldTwo"/>
          <w:bCs/>
          <w:shd w:val="pct15" w:color="auto" w:fill="FFFFFF"/>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D964E5">
        <w:rPr>
          <w:rFonts w:ascii="Georgia" w:hAnsi="Georgia" w:cs="TradeGothic-BoldTwo"/>
          <w:bCs/>
          <w:shd w:val="pct15" w:color="auto" w:fill="FFFFFF"/>
        </w:rPr>
        <w:instrText xml:space="preserve"> ADDIN EN.CITE.DATA </w:instrText>
      </w:r>
      <w:r w:rsidR="00D964E5">
        <w:rPr>
          <w:rFonts w:ascii="Georgia" w:hAnsi="Georgia" w:cs="TradeGothic-BoldTwo"/>
          <w:bCs/>
          <w:shd w:val="pct15" w:color="auto" w:fill="FFFFFF"/>
        </w:rPr>
      </w:r>
      <w:r w:rsidR="00D964E5">
        <w:rPr>
          <w:rFonts w:ascii="Georgia" w:hAnsi="Georgia" w:cs="TradeGothic-BoldTwo"/>
          <w:bCs/>
          <w:shd w:val="pct15" w:color="auto" w:fill="FFFFFF"/>
        </w:rPr>
        <w:fldChar w:fldCharType="end"/>
      </w:r>
      <w:r w:rsidR="00D964E5">
        <w:rPr>
          <w:rFonts w:ascii="Georgia" w:hAnsi="Georgia" w:cs="TradeGothic-BoldTwo"/>
          <w:bCs/>
          <w:shd w:val="pct15" w:color="auto" w:fill="FFFFFF"/>
        </w:rPr>
        <w:fldChar w:fldCharType="separate"/>
      </w:r>
      <w:r w:rsidR="00D964E5">
        <w:rPr>
          <w:rFonts w:ascii="Georgia" w:hAnsi="Georgia" w:cs="TradeGothic-BoldTwo"/>
          <w:bCs/>
          <w:shd w:val="pct15" w:color="auto" w:fill="FFFFFF"/>
        </w:rPr>
        <w:t>(9)</w:t>
      </w:r>
      <w:r w:rsidR="00D964E5">
        <w:rPr>
          <w:rFonts w:ascii="Georgia" w:hAnsi="Georgia" w:cs="TradeGothic-BoldTwo"/>
          <w:bCs/>
          <w:shd w:val="pct15" w:color="auto" w:fill="FFFFFF"/>
        </w:rPr>
        <w:fldChar w:fldCharType="end"/>
      </w:r>
      <w:r w:rsidRPr="005935AA">
        <w:rPr>
          <w:rFonts w:ascii="Georgia" w:hAnsi="Georgia" w:cs="TradeGothic-BoldTwo"/>
          <w:bCs/>
          <w:shd w:val="pct15" w:color="auto" w:fill="FFFFFF"/>
        </w:rPr>
        <w:t xml:space="preserve"> and multiplex PCR amplification of 170 exons </w:t>
      </w:r>
      <w:r w:rsidR="00D964E5">
        <w:rPr>
          <w:rFonts w:ascii="Georgia" w:hAnsi="Georgia" w:cs="TradeGothic-BoldTwo"/>
          <w:bCs/>
          <w:shd w:val="pct15" w:color="auto" w:fill="FFFFFF"/>
        </w:rPr>
        <w:fldChar w:fldCharType="begin"/>
      </w:r>
      <w:r w:rsidR="00D964E5">
        <w:rPr>
          <w:rFonts w:ascii="Georgia" w:hAnsi="Georgia" w:cs="TradeGothic-BoldTwo"/>
          <w:bCs/>
          <w:shd w:val="pct15" w:color="auto" w:fill="FFFFFF"/>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D964E5">
        <w:rPr>
          <w:rFonts w:ascii="Georgia" w:hAnsi="Georgia" w:cs="TradeGothic-BoldTwo"/>
          <w:bCs/>
          <w:shd w:val="pct15" w:color="auto" w:fill="FFFFFF"/>
        </w:rPr>
        <w:fldChar w:fldCharType="separate"/>
      </w:r>
      <w:r w:rsidR="00D964E5">
        <w:rPr>
          <w:rFonts w:ascii="Georgia" w:hAnsi="Georgia" w:cs="TradeGothic-BoldTwo"/>
          <w:bCs/>
          <w:shd w:val="pct15" w:color="auto" w:fill="FFFFFF"/>
        </w:rPr>
        <w:t>(10)</w:t>
      </w:r>
      <w:r w:rsidR="00D964E5">
        <w:rPr>
          <w:rFonts w:ascii="Georgia" w:hAnsi="Georgia" w:cs="TradeGothic-BoldTwo"/>
          <w:bCs/>
          <w:shd w:val="pct15" w:color="auto" w:fill="FFFFFF"/>
        </w:rPr>
        <w:fldChar w:fldCharType="end"/>
      </w:r>
      <w:r w:rsidRPr="005935AA">
        <w:rPr>
          <w:rFonts w:ascii="Georgia" w:hAnsi="Georgia" w:cs="TradeGothic-BoldTwo"/>
          <w:bCs/>
          <w:shd w:val="pct15" w:color="auto" w:fill="FFFFFF"/>
        </w:rPr>
        <w:t>.  Two commercial capture methods are currently available from Nimblegen and Agilent.</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(11)</w:t>
      </w:r>
      <w:r w:rsidR="00D964E5">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(12)</w:t>
      </w:r>
      <w:r w:rsidR="00D964E5">
        <w:rPr>
          <w:rFonts w:ascii="Georgia" w:hAnsi="Georgia"/>
          <w:sz w:val="24"/>
          <w:szCs w:val="24"/>
        </w:rPr>
        <w:fldChar w:fldCharType="end"/>
      </w:r>
      <w:r w:rsidR="00F72B00"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(13)</w:t>
      </w:r>
      <w:r w:rsidR="00D964E5">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(14)</w:t>
      </w:r>
      <w:r w:rsidR="00D964E5">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(15)</w:t>
      </w:r>
      <w:r w:rsidR="00D964E5">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(16)</w:t>
      </w:r>
      <w:r w:rsidR="00D964E5">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(17)</w:t>
      </w:r>
      <w:r w:rsidR="00D964E5">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(18)</w:t>
      </w:r>
      <w:r w:rsidR="00D964E5">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(e.g., phage, bacteria, yeast). So comparison between assemblers is difficult even before considering the particul</w:t>
      </w:r>
      <w:r w:rsidR="00024E44">
        <w:rPr>
          <w:rFonts w:ascii="Georgia" w:hAnsi="Georgia"/>
          <w:sz w:val="24"/>
          <w:szCs w:val="24"/>
        </w:rPr>
        <w:t>ar performance with human data.</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D964E5">
        <w:rPr>
          <w:rFonts w:ascii="Georgia" w:hAnsi="Georgia" w:cs="Arial"/>
          <w:sz w:val="24"/>
          <w:szCs w:val="24"/>
        </w:rPr>
        <w:fldChar w:fldCharType="begin"/>
      </w:r>
      <w:r w:rsidR="00D964E5">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D964E5">
        <w:rPr>
          <w:rFonts w:ascii="Georgia" w:hAnsi="Georgia" w:cs="Arial"/>
          <w:sz w:val="24"/>
          <w:szCs w:val="24"/>
        </w:rPr>
        <w:fldChar w:fldCharType="separate"/>
      </w:r>
      <w:r w:rsidR="00D964E5">
        <w:rPr>
          <w:rFonts w:ascii="Georgia" w:hAnsi="Georgia" w:cs="Arial"/>
          <w:sz w:val="24"/>
          <w:szCs w:val="24"/>
        </w:rPr>
        <w:t>(19)</w:t>
      </w:r>
      <w:r w:rsidR="00D964E5">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D964E5">
        <w:rPr>
          <w:rFonts w:ascii="Georgia" w:hAnsi="Georgia"/>
          <w:sz w:val="24"/>
          <w:szCs w:val="24"/>
        </w:rPr>
        <w:fldChar w:fldCharType="separate"/>
      </w:r>
      <w:r w:rsidR="00D964E5">
        <w:rPr>
          <w:rFonts w:ascii="Georgia" w:hAnsi="Georgia"/>
          <w:sz w:val="24"/>
          <w:szCs w:val="24"/>
        </w:rPr>
        <w:t>(20)</w:t>
      </w:r>
      <w:r w:rsidR="00D964E5">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muscle were mapped by NextGen deep sequencing </w:t>
      </w:r>
      <w:r w:rsidR="00D964E5">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 </w:instrText>
      </w:r>
      <w:r w:rsidR="00D964E5">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EN.CITE.DATA </w:instrText>
      </w:r>
      <w:r w:rsidR="00D964E5">
        <w:rPr>
          <w:rFonts w:ascii="Georgia" w:hAnsi="Georgia"/>
          <w:b/>
          <w:sz w:val="24"/>
          <w:szCs w:val="24"/>
        </w:rPr>
      </w:r>
      <w:r w:rsidR="00D964E5">
        <w:rPr>
          <w:rFonts w:ascii="Georgia" w:hAnsi="Georgia"/>
          <w:b/>
          <w:sz w:val="24"/>
          <w:szCs w:val="24"/>
        </w:rPr>
        <w:fldChar w:fldCharType="end"/>
      </w:r>
      <w:r w:rsidR="00D964E5">
        <w:rPr>
          <w:rFonts w:ascii="Georgia" w:hAnsi="Georgia"/>
          <w:b/>
          <w:sz w:val="24"/>
          <w:szCs w:val="24"/>
        </w:rPr>
        <w:fldChar w:fldCharType="separate"/>
      </w:r>
      <w:r w:rsidR="00D964E5">
        <w:rPr>
          <w:rFonts w:ascii="Georgia" w:hAnsi="Georgia"/>
          <w:b/>
          <w:sz w:val="24"/>
          <w:szCs w:val="24"/>
        </w:rPr>
        <w:t>(21)</w:t>
      </w:r>
      <w:r w:rsidR="00D964E5">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 xml:space="preserve">a digital measure of </w:t>
      </w:r>
      <w:r w:rsidRPr="006F0223">
        <w:rPr>
          <w:rFonts w:ascii="Georgia" w:hAnsi="Georgia" w:cs="Arial"/>
          <w:b/>
          <w:sz w:val="24"/>
          <w:szCs w:val="24"/>
        </w:rPr>
        <w:lastRenderedPageBreak/>
        <w:t>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p>
    <w:p w:rsidR="00386EE7"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(22)</w:t>
      </w:r>
      <w:r w:rsidR="00D964E5">
        <w:rPr>
          <w:rFonts w:ascii="Georgia" w:hAnsi="Georgia"/>
          <w:sz w:val="24"/>
          <w:szCs w:val="24"/>
        </w:rPr>
        <w:fldChar w:fldCharType="end"/>
      </w:r>
      <w:r w:rsidRPr="009C6530">
        <w:rPr>
          <w:rFonts w:ascii="Georgia" w:hAnsi="Georgia"/>
          <w:sz w:val="24"/>
          <w:szCs w:val="24"/>
        </w:rPr>
        <w:t>. As the focus in human genetics has shifted to complex</w:t>
      </w:r>
      <w:r>
        <w:rPr>
          <w:rFonts w:ascii="Georgia" w:hAnsi="Georgia"/>
          <w:sz w:val="24"/>
          <w:szCs w:val="24"/>
        </w:rPr>
        <w:t>, multi-gene</w:t>
      </w:r>
      <w:r w:rsidRPr="009C6530">
        <w:rPr>
          <w:rFonts w:ascii="Georgia" w:hAnsi="Georgia"/>
          <w:sz w:val="24"/>
          <w:szCs w:val="24"/>
        </w:rPr>
        <w:t xml:space="preserve"> diseases, there is an increasing need for comprehensive diagnostic evaluations of </w:t>
      </w:r>
      <w:r w:rsidR="00AA64B9">
        <w:rPr>
          <w:rFonts w:ascii="Georgia" w:hAnsi="Georgia"/>
          <w:sz w:val="24"/>
          <w:szCs w:val="24"/>
        </w:rPr>
        <w:t>SNPs (single nucleotide polymorphisms)</w:t>
      </w:r>
      <w:r w:rsidR="004A79BF">
        <w:rPr>
          <w:rFonts w:ascii="Georgia" w:hAnsi="Georgia"/>
          <w:sz w:val="24"/>
          <w:szCs w:val="24"/>
        </w:rPr>
        <w:t xml:space="preserve"> and other </w:t>
      </w:r>
      <w:r w:rsidR="00C83077">
        <w:rPr>
          <w:rFonts w:ascii="Georgia" w:hAnsi="Georgia"/>
          <w:sz w:val="24"/>
          <w:szCs w:val="24"/>
        </w:rPr>
        <w:t xml:space="preserve">genomic </w:t>
      </w:r>
      <w:r w:rsidR="004A79BF">
        <w:rPr>
          <w:rFonts w:ascii="Georgia" w:hAnsi="Georgia"/>
          <w:sz w:val="24"/>
          <w:szCs w:val="24"/>
        </w:rPr>
        <w:t>variation</w:t>
      </w:r>
      <w:r w:rsidR="00AA64B9">
        <w:rPr>
          <w:rFonts w:ascii="Georgia" w:hAnsi="Georgia"/>
          <w:sz w:val="24"/>
          <w:szCs w:val="24"/>
        </w:rPr>
        <w:t xml:space="preserve"> in </w:t>
      </w:r>
      <w:r w:rsidRPr="009C6530">
        <w:rPr>
          <w:rFonts w:ascii="Georgia" w:hAnsi="Georgia"/>
          <w:sz w:val="24"/>
          <w:szCs w:val="24"/>
        </w:rPr>
        <w:t xml:space="preserve">multiple genes. </w:t>
      </w:r>
      <w:r w:rsidR="00AA64B9">
        <w:rPr>
          <w:rFonts w:ascii="Georgia" w:hAnsi="Georgia"/>
          <w:sz w:val="24"/>
          <w:szCs w:val="24"/>
        </w:rPr>
        <w:t xml:space="preserve"> </w:t>
      </w:r>
      <w:r w:rsidR="00EA19D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D964E5">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(23)</w:t>
      </w:r>
      <w:r w:rsidR="00D964E5">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D964E5">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 </w:instrText>
      </w:r>
      <w:r w:rsidR="00D964E5">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EN.CITE.DATA </w:instrText>
      </w:r>
      <w:r w:rsidR="00D964E5">
        <w:rPr>
          <w:rFonts w:ascii="Georgia" w:hAnsi="Georgia" w:cs="Arial"/>
          <w:sz w:val="24"/>
          <w:szCs w:val="24"/>
        </w:rPr>
      </w:r>
      <w:r w:rsidR="00D964E5">
        <w:rPr>
          <w:rFonts w:ascii="Georgia" w:hAnsi="Georgia" w:cs="Arial"/>
          <w:sz w:val="24"/>
          <w:szCs w:val="24"/>
        </w:rPr>
        <w:fldChar w:fldCharType="end"/>
      </w:r>
      <w:r w:rsidR="00D964E5">
        <w:rPr>
          <w:rFonts w:ascii="Georgia" w:hAnsi="Georgia" w:cs="Arial"/>
          <w:sz w:val="24"/>
          <w:szCs w:val="24"/>
        </w:rPr>
        <w:fldChar w:fldCharType="separate"/>
      </w:r>
      <w:r w:rsidR="00D964E5">
        <w:rPr>
          <w:rFonts w:ascii="Georgia" w:hAnsi="Georgia" w:cs="Arial"/>
          <w:sz w:val="24"/>
          <w:szCs w:val="24"/>
        </w:rPr>
        <w:t>(24)</w:t>
      </w:r>
      <w:r w:rsidR="00D964E5">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p>
    <w:p w:rsidR="00E4711B" w:rsidRPr="00DC249D" w:rsidRDefault="00DC249D" w:rsidP="00E4711B">
      <w:pPr>
        <w:spacing w:before="120"/>
        <w:rPr>
          <w:rFonts w:ascii="Georgia" w:hAnsi="Georgia"/>
          <w:sz w:val="24"/>
          <w:szCs w:val="24"/>
          <w:shd w:val="pct15" w:color="auto" w:fill="FFFFFF"/>
        </w:rPr>
      </w:pPr>
      <w:r>
        <w:rPr>
          <w:rFonts w:ascii="Georgia" w:hAnsi="Georgia" w:cs="JansonText-Roman"/>
          <w:sz w:val="24"/>
          <w:szCs w:val="24"/>
          <w:shd w:val="pct15" w:color="auto" w:fill="FFFFFF"/>
        </w:rPr>
        <w:t>(Unnecessary?)</w:t>
      </w:r>
      <w:r>
        <w:rPr>
          <w:rFonts w:ascii="Georgia" w:hAnsi="Georgia" w:cs="JansonText-Roman"/>
          <w:sz w:val="24"/>
          <w:szCs w:val="24"/>
          <w:shd w:val="pct15" w:color="auto" w:fill="FFFFFF"/>
        </w:rPr>
        <w:br/>
      </w:r>
      <w:r w:rsidR="00E4711B" w:rsidRPr="00DC249D">
        <w:rPr>
          <w:rFonts w:ascii="Georgia" w:hAnsi="Georgia"/>
          <w:sz w:val="24"/>
          <w:szCs w:val="24"/>
          <w:shd w:val="pct15" w:color="auto" w:fill="FFFFFF"/>
        </w:rPr>
        <w:t xml:space="preserve">At the level of large-scale genomic variation, copy number variations </w:t>
      </w:r>
      <w:r w:rsidR="00E4711B" w:rsidRPr="00DC249D">
        <w:rPr>
          <w:rFonts w:ascii="Georgia" w:hAnsi="Georgia" w:cs="Arial"/>
          <w:sz w:val="24"/>
          <w:szCs w:val="24"/>
          <w:shd w:val="pct15" w:color="auto" w:fill="FFFFFF"/>
        </w:rPr>
        <w:t>(CNV</w:t>
      </w:r>
      <w:r w:rsidR="00E4711B" w:rsidRPr="00DC249D">
        <w:rPr>
          <w:rFonts w:ascii="Georgia" w:hAnsi="Georgia"/>
          <w:sz w:val="24"/>
          <w:szCs w:val="24"/>
          <w:shd w:val="pct15" w:color="auto" w:fill="FFFFFF"/>
        </w:rPr>
        <w:t xml:space="preserve">) remain difficult to measure although CNVs of </w:t>
      </w:r>
      <w:r w:rsidR="00E4711B" w:rsidRPr="00DC249D">
        <w:rPr>
          <w:rFonts w:ascii="Georgia" w:hAnsi="Georgia" w:cs="Arial"/>
          <w:sz w:val="24"/>
          <w:szCs w:val="24"/>
          <w:shd w:val="pct15" w:color="auto" w:fill="FFFFFF"/>
        </w:rPr>
        <w:t xml:space="preserve">100 kilobases and greater contribute substantially to genomic variation between normal humans </w:t>
      </w:r>
      <w:r w:rsidR="00D964E5">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 </w:instrText>
      </w:r>
      <w:r w:rsidR="00D964E5">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EN.CITE.DATA </w:instrText>
      </w:r>
      <w:r w:rsidR="00D964E5">
        <w:rPr>
          <w:rFonts w:ascii="Georgia" w:hAnsi="Georgia" w:cs="Arial"/>
          <w:sz w:val="24"/>
          <w:szCs w:val="24"/>
          <w:shd w:val="pct15" w:color="auto" w:fill="FFFFFF"/>
        </w:rPr>
      </w:r>
      <w:r w:rsidR="00D964E5">
        <w:rPr>
          <w:rFonts w:ascii="Georgia" w:hAnsi="Georgia" w:cs="Arial"/>
          <w:sz w:val="24"/>
          <w:szCs w:val="24"/>
          <w:shd w:val="pct15" w:color="auto" w:fill="FFFFFF"/>
        </w:rPr>
        <w:fldChar w:fldCharType="end"/>
      </w:r>
      <w:r w:rsidR="00D964E5">
        <w:rPr>
          <w:rFonts w:ascii="Georgia" w:hAnsi="Georgia" w:cs="Arial"/>
          <w:sz w:val="24"/>
          <w:szCs w:val="24"/>
          <w:shd w:val="pct15" w:color="auto" w:fill="FFFFFF"/>
        </w:rPr>
        <w:fldChar w:fldCharType="separate"/>
      </w:r>
      <w:r w:rsidR="00D964E5">
        <w:rPr>
          <w:rFonts w:ascii="Georgia" w:hAnsi="Georgia" w:cs="Arial"/>
          <w:sz w:val="24"/>
          <w:szCs w:val="24"/>
          <w:shd w:val="pct15" w:color="auto" w:fill="FFFFFF"/>
        </w:rPr>
        <w:t>(25, 26)</w:t>
      </w:r>
      <w:r w:rsidR="00D964E5">
        <w:rPr>
          <w:rFonts w:ascii="Georgia" w:hAnsi="Georgia" w:cs="Arial"/>
          <w:sz w:val="24"/>
          <w:szCs w:val="24"/>
          <w:shd w:val="pct15" w:color="auto" w:fill="FFFFFF"/>
        </w:rPr>
        <w:fldChar w:fldCharType="end"/>
      </w:r>
      <w:r w:rsidR="00E4711B" w:rsidRPr="00DC249D">
        <w:rPr>
          <w:rFonts w:ascii="Georgia" w:hAnsi="Georgia"/>
          <w:sz w:val="24"/>
          <w:szCs w:val="24"/>
          <w:shd w:val="pct15" w:color="auto" w:fill="FFFFFF"/>
        </w:rPr>
        <w:t xml:space="preserve">. Microarray-based approaches for detecting CNVs depend on microarray signal intensity differences to predict regions of variation and cannot detect inversions. Before the advent of NextGen CNV technique, only a small fraction of copy-number variant (CNV) base pairs had been determined at the sequence level </w:t>
      </w:r>
      <w:r w:rsidR="00D964E5">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D964E5">
        <w:rPr>
          <w:rFonts w:ascii="Georgia" w:hAnsi="Georgia"/>
          <w:sz w:val="24"/>
          <w:szCs w:val="24"/>
          <w:shd w:val="pct15" w:color="auto" w:fill="FFFFFF"/>
        </w:rPr>
        <w:fldChar w:fldCharType="separate"/>
      </w:r>
      <w:r w:rsidR="00D964E5">
        <w:rPr>
          <w:rFonts w:ascii="Georgia" w:hAnsi="Georgia"/>
          <w:sz w:val="24"/>
          <w:szCs w:val="24"/>
          <w:shd w:val="pct15" w:color="auto" w:fill="FFFFFF"/>
        </w:rPr>
        <w:t>(27)</w:t>
      </w:r>
      <w:r w:rsidR="00D964E5">
        <w:rPr>
          <w:rFonts w:ascii="Georgia" w:hAnsi="Georgia"/>
          <w:sz w:val="24"/>
          <w:szCs w:val="24"/>
          <w:shd w:val="pct15" w:color="auto" w:fill="FFFFFF"/>
        </w:rPr>
        <w:fldChar w:fldCharType="end"/>
      </w:r>
      <w:r w:rsidR="00E4711B" w:rsidRPr="00DC249D">
        <w:rPr>
          <w:rFonts w:ascii="Georgia" w:hAnsi="Georgia"/>
          <w:sz w:val="24"/>
          <w:szCs w:val="24"/>
          <w:shd w:val="pct15" w:color="auto" w:fill="FFFFFF"/>
        </w:rPr>
        <w:t xml:space="preserve">.  NextGen CNV mapping allows the discovery </w:t>
      </w:r>
      <w:r w:rsidR="00712657" w:rsidRPr="00DC249D">
        <w:rPr>
          <w:rFonts w:ascii="Georgia" w:hAnsi="Georgia"/>
          <w:sz w:val="24"/>
          <w:szCs w:val="24"/>
          <w:shd w:val="pct15" w:color="auto" w:fill="FFFFFF"/>
        </w:rPr>
        <w:t xml:space="preserve">of </w:t>
      </w:r>
      <w:r w:rsidR="00E4711B" w:rsidRPr="00DC249D">
        <w:rPr>
          <w:rFonts w:ascii="Georgia" w:hAnsi="Georgia"/>
          <w:sz w:val="24"/>
          <w:szCs w:val="24"/>
          <w:shd w:val="pct15" w:color="auto" w:fill="FFFFFF"/>
        </w:rPr>
        <w:t xml:space="preserve">cancer-causing genes in genomic regions that show recurrent copy-number alterations (gains and losses) in tumor genomes </w:t>
      </w:r>
      <w:r w:rsidR="00D964E5">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D964E5">
        <w:rPr>
          <w:rFonts w:ascii="Georgia" w:hAnsi="Georgia"/>
          <w:sz w:val="24"/>
          <w:szCs w:val="24"/>
          <w:shd w:val="pct15" w:color="auto" w:fill="FFFFFF"/>
        </w:rPr>
        <w:fldChar w:fldCharType="separate"/>
      </w:r>
      <w:r w:rsidR="00D964E5">
        <w:rPr>
          <w:rFonts w:ascii="Georgia" w:hAnsi="Georgia"/>
          <w:sz w:val="24"/>
          <w:szCs w:val="24"/>
          <w:shd w:val="pct15" w:color="auto" w:fill="FFFFFF"/>
        </w:rPr>
        <w:t>(28)</w:t>
      </w:r>
      <w:r w:rsidR="00D964E5">
        <w:rPr>
          <w:rFonts w:ascii="Georgia" w:hAnsi="Georgia"/>
          <w:sz w:val="24"/>
          <w:szCs w:val="24"/>
          <w:shd w:val="pct15" w:color="auto" w:fill="FFFFFF"/>
        </w:rPr>
        <w:fldChar w:fldCharType="end"/>
      </w:r>
      <w:r w:rsidR="00E4711B" w:rsidRPr="00DC249D">
        <w:rPr>
          <w:rFonts w:ascii="Georgia" w:hAnsi="Georgia"/>
          <w:sz w:val="24"/>
          <w:szCs w:val="24"/>
          <w:shd w:val="pct15" w:color="auto" w:fill="FFFFFF"/>
        </w:rPr>
        <w:t>.</w:t>
      </w:r>
    </w:p>
    <w:p w:rsidR="001A0BCA" w:rsidRPr="00DC249D" w:rsidRDefault="001A0BCA" w:rsidP="001A0BCA">
      <w:pPr>
        <w:spacing w:before="120"/>
        <w:rPr>
          <w:rFonts w:ascii="Georgia" w:hAnsi="Georgia" w:cs="JansonText-Roman"/>
          <w:sz w:val="24"/>
          <w:szCs w:val="24"/>
          <w:shd w:val="pct15" w:color="auto" w:fill="FFFFFF"/>
        </w:rPr>
      </w:pPr>
      <w:r w:rsidRPr="00DC249D">
        <w:rPr>
          <w:rFonts w:ascii="Georgia" w:hAnsi="Georgia" w:cs="JansonText-Roman"/>
          <w:sz w:val="24"/>
          <w:szCs w:val="24"/>
          <w:shd w:val="pct15" w:color="auto" w:fill="FFFFFF"/>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D964E5">
        <w:rPr>
          <w:rFonts w:ascii="Georgia" w:hAnsi="Georgia" w:cs="JansonText-Roman"/>
          <w:sz w:val="24"/>
          <w:szCs w:val="24"/>
          <w:shd w:val="pct15" w:color="auto" w:fill="FFFFFF"/>
        </w:rPr>
        <w:fldChar w:fldCharType="begin"/>
      </w:r>
      <w:r w:rsidR="00D964E5">
        <w:rPr>
          <w:rFonts w:ascii="Georgia" w:hAnsi="Georgia" w:cs="JansonText-Roman"/>
          <w:sz w:val="24"/>
          <w:szCs w:val="24"/>
          <w:shd w:val="pct15" w:color="auto" w:fill="FFFFFF"/>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D964E5">
        <w:rPr>
          <w:rFonts w:ascii="Georgia" w:hAnsi="Georgia" w:cs="JansonText-Roman"/>
          <w:sz w:val="24"/>
          <w:szCs w:val="24"/>
          <w:shd w:val="pct15" w:color="auto" w:fill="FFFFFF"/>
        </w:rPr>
        <w:fldChar w:fldCharType="separate"/>
      </w:r>
      <w:r w:rsidR="00D964E5">
        <w:rPr>
          <w:rFonts w:ascii="Georgia" w:hAnsi="Georgia" w:cs="JansonText-Roman"/>
          <w:sz w:val="24"/>
          <w:szCs w:val="24"/>
          <w:shd w:val="pct15" w:color="auto" w:fill="FFFFFF"/>
        </w:rPr>
        <w:t>(7)</w:t>
      </w:r>
      <w:r w:rsidR="00D964E5">
        <w:rPr>
          <w:rFonts w:ascii="Georgia" w:hAnsi="Georgia" w:cs="JansonText-Roman"/>
          <w:sz w:val="24"/>
          <w:szCs w:val="24"/>
          <w:shd w:val="pct15" w:color="auto" w:fill="FFFFFF"/>
        </w:rPr>
        <w:fldChar w:fldCharType="end"/>
      </w:r>
      <w:r w:rsidRPr="00DC249D">
        <w:rPr>
          <w:rFonts w:ascii="Georgia" w:hAnsi="Georgia" w:cs="JansonText-Roman"/>
          <w:sz w:val="24"/>
          <w:szCs w:val="24"/>
          <w:shd w:val="pct15" w:color="auto" w:fill="FFFFFF"/>
        </w:rPr>
        <w:t xml:space="preserve">.  Chromatin immuno-precipitation (ChIP) is used to investigate </w:t>
      </w:r>
      <w:r w:rsidRPr="00DC249D">
        <w:rPr>
          <w:rFonts w:ascii="Georgia" w:hAnsi="Georgia" w:cs="JansonText-Roman"/>
          <w:color w:val="000000"/>
          <w:sz w:val="24"/>
          <w:szCs w:val="24"/>
          <w:shd w:val="pct15" w:color="auto" w:fill="FFFFFF"/>
        </w:rPr>
        <w:t>p</w:t>
      </w:r>
      <w:r w:rsidRPr="00DC249D">
        <w:rPr>
          <w:rFonts w:ascii="Georgia" w:hAnsi="Georgia" w:cs="JansonText-Bold"/>
          <w:bCs/>
          <w:color w:val="000000"/>
          <w:sz w:val="24"/>
          <w:szCs w:val="24"/>
          <w:shd w:val="pct15" w:color="auto" w:fill="FFFFFF"/>
        </w:rPr>
        <w:t xml:space="preserve">rotein-DNA interactions, which </w:t>
      </w:r>
      <w:r w:rsidRPr="00DC249D">
        <w:rPr>
          <w:rFonts w:ascii="Georgia" w:hAnsi="Georgia" w:cs="JansonText-Roman"/>
          <w:sz w:val="24"/>
          <w:szCs w:val="24"/>
          <w:shd w:val="pct15" w:color="auto" w:fill="FFFFFF"/>
        </w:rPr>
        <w:t xml:space="preserve">play a key part in regulating gene expression and controlling the availability of DNA for transcription and replication. In the technique, DNA chemically cross-linked to associated proteins is fragmented and transcription factor-specific antibodies are used to immunoprecipitate selected protein-DNA complexes. The DNA is then processed by NextGen sequencing (ChIP-Seq). </w:t>
      </w:r>
    </w:p>
    <w:p w:rsidR="00E4711B" w:rsidRPr="00DC249D" w:rsidRDefault="00E4711B" w:rsidP="00E4711B">
      <w:pPr>
        <w:spacing w:before="120"/>
        <w:rPr>
          <w:rFonts w:ascii="Georgia" w:hAnsi="Georgia"/>
          <w:sz w:val="24"/>
          <w:szCs w:val="24"/>
          <w:shd w:val="pct15" w:color="auto" w:fill="FFFFFF"/>
        </w:rPr>
      </w:pPr>
      <w:r w:rsidRPr="00DC249D">
        <w:rPr>
          <w:rFonts w:ascii="Georgia" w:hAnsi="Georgia"/>
          <w:sz w:val="24"/>
          <w:szCs w:val="24"/>
          <w:shd w:val="pct15" w:color="auto" w:fill="FFFFFF"/>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NextGen platforms has caused a recent explosion in metagenomic studies. The NIH Human Microbiome Project is one of several international efforts using metagenomic analysis to study human health and has developing the new technological and bioinformatics tools as one of its four stated goals (http://www.genome.gov/25521743). New bioinformatics tools for assembling metagenomics data (http://nihroadmap.nih.gov/hmp/fundedresearch.asp) are required to assembling and finding genes and genomic variation in heterogeneous metagenomic datasets, where currently available software performs poorly. </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D964E5">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D964E5">
        <w:rPr>
          <w:rFonts w:ascii="Georgia" w:hAnsi="Georgia" w:cs="Giovanni-Book"/>
          <w:sz w:val="24"/>
          <w:szCs w:val="24"/>
        </w:rPr>
        <w:fldChar w:fldCharType="separate"/>
      </w:r>
      <w:r w:rsidR="00D964E5">
        <w:rPr>
          <w:rFonts w:ascii="Georgia" w:hAnsi="Georgia" w:cs="Giovanni-Book"/>
          <w:sz w:val="24"/>
          <w:szCs w:val="24"/>
        </w:rPr>
        <w:t>(29)</w:t>
      </w:r>
      <w:r w:rsidR="00D964E5">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w:t>
      </w:r>
      <w:r w:rsidR="00E747D1">
        <w:rPr>
          <w:rFonts w:ascii="Georgia" w:hAnsi="Georgia"/>
          <w:sz w:val="24"/>
          <w:szCs w:val="24"/>
        </w:rPr>
        <w:lastRenderedPageBreak/>
        <w:t xml:space="preserve">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(30)</w:t>
      </w:r>
      <w:r w:rsidR="00D964E5">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D964E5">
        <w:rPr>
          <w:rFonts w:ascii="Georgia" w:hAnsi="Georgia"/>
          <w:sz w:val="24"/>
          <w:szCs w:val="24"/>
        </w:rPr>
        <w:fldChar w:fldCharType="separate"/>
      </w:r>
      <w:r w:rsidR="00D964E5">
        <w:rPr>
          <w:rFonts w:ascii="Georgia" w:hAnsi="Georgia"/>
          <w:sz w:val="24"/>
          <w:szCs w:val="24"/>
        </w:rPr>
        <w:t>(31)</w:t>
      </w:r>
      <w:r w:rsidR="00D964E5">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(32)</w:t>
      </w:r>
      <w:r w:rsidR="00D964E5">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D964E5">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(33-35)</w:t>
      </w:r>
      <w:r w:rsidR="00D964E5">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D964E5">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D964E5">
        <w:rPr>
          <w:rFonts w:ascii="Georgia" w:hAnsi="Georgia" w:cs="Giovanni-Book"/>
          <w:sz w:val="24"/>
          <w:szCs w:val="24"/>
        </w:rPr>
        <w:fldChar w:fldCharType="separate"/>
      </w:r>
      <w:r w:rsidR="00D964E5">
        <w:rPr>
          <w:rFonts w:ascii="Georgia" w:hAnsi="Georgia" w:cs="Giovanni-Book"/>
          <w:sz w:val="24"/>
          <w:szCs w:val="24"/>
        </w:rPr>
        <w:t>(36)</w:t>
      </w:r>
      <w:r w:rsidR="00D964E5">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D964E5">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(37, 38)</w:t>
      </w:r>
      <w:r w:rsidR="00D964E5">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(39)</w:t>
      </w:r>
      <w:r w:rsidR="00D964E5">
        <w:rPr>
          <w:rFonts w:ascii="Georgia" w:hAnsi="Georgia"/>
          <w:sz w:val="24"/>
          <w:szCs w:val="24"/>
        </w:rPr>
        <w:fldChar w:fldCharType="end"/>
      </w:r>
      <w:r w:rsidR="0093670F">
        <w:rPr>
          <w:rFonts w:ascii="Georgia" w:hAnsi="Georgia"/>
          <w:sz w:val="24"/>
          <w:szCs w:val="24"/>
        </w:rPr>
        <w:t xml:space="preserve"> and GBrowse </w:t>
      </w:r>
      <w:r w:rsidR="00D964E5">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(40, 41)</w:t>
      </w:r>
      <w:r w:rsidR="00D964E5">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D964E5">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(42, 43)</w:t>
      </w:r>
      <w:r w:rsidR="00D964E5">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623F7A" w:rsidP="003308E3">
      <w:pPr>
        <w:spacing w:before="120"/>
        <w:rPr>
          <w:rFonts w:ascii="Georgia" w:hAnsi="Georgia"/>
          <w:sz w:val="24"/>
          <w:szCs w:val="24"/>
        </w:rPr>
      </w:pPr>
      <w:r w:rsidRPr="00CE7FCB">
        <w:rPr>
          <w:szCs w:val="24"/>
        </w:rPr>
        <w:lastRenderedPageBreak/>
        <w:pict>
          <v:shape id="_x0000_i1026" type="#_x0000_t75" style="width:540pt;height:379.5pt">
            <v:imagedata r:id="rId14" o:title=""/>
          </v:shape>
        </w:pict>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lastRenderedPageBreak/>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(18)</w:t>
      </w:r>
      <w:r w:rsidR="00D964E5">
        <w:rPr>
          <w:rFonts w:ascii="Georgia" w:hAnsi="Georgia"/>
          <w:sz w:val="24"/>
          <w:szCs w:val="24"/>
        </w:rPr>
        <w:fldChar w:fldCharType="end"/>
      </w:r>
      <w:r w:rsidRPr="00BC6D51">
        <w:rPr>
          <w:rFonts w:ascii="Georgia" w:hAnsi="Georgia"/>
          <w:sz w:val="24"/>
          <w:szCs w:val="24"/>
        </w:rPr>
        <w:t xml:space="preserve">, Mira v2.9.25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D964E5">
        <w:rPr>
          <w:rFonts w:ascii="Georgia" w:hAnsi="Georgia"/>
          <w:sz w:val="24"/>
          <w:szCs w:val="24"/>
        </w:rPr>
        <w:fldChar w:fldCharType="separate"/>
      </w:r>
      <w:r w:rsidR="00D964E5">
        <w:rPr>
          <w:rFonts w:ascii="Georgia" w:hAnsi="Georgia"/>
          <w:sz w:val="24"/>
          <w:szCs w:val="24"/>
        </w:rPr>
        <w:t>(11)</w:t>
      </w:r>
      <w:r w:rsidR="00D964E5">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(12)</w:t>
      </w:r>
      <w:r w:rsidR="00D964E5">
        <w:rPr>
          <w:rFonts w:ascii="Georgia" w:hAnsi="Georgia"/>
          <w:sz w:val="24"/>
          <w:szCs w:val="24"/>
        </w:rPr>
        <w:fldChar w:fldCharType="end"/>
      </w:r>
      <w:r w:rsidRPr="009C6530">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D964E5">
        <w:rPr>
          <w:rFonts w:ascii="Georgia" w:hAnsi="Georgia"/>
          <w:sz w:val="24"/>
          <w:szCs w:val="24"/>
        </w:rPr>
        <w:fldChar w:fldCharType="separate"/>
      </w:r>
      <w:r w:rsidR="00D964E5">
        <w:rPr>
          <w:rFonts w:ascii="Georgia" w:hAnsi="Georgia"/>
          <w:sz w:val="24"/>
          <w:szCs w:val="24"/>
        </w:rPr>
        <w:t>(13)</w:t>
      </w:r>
      <w:r w:rsidR="00D964E5">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5"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C80E9B"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 </w:instrText>
      </w:r>
      <w:r w:rsidR="00C80E9B"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EN.CITE.DATA </w:instrText>
      </w:r>
      <w:r w:rsidR="00C80E9B" w:rsidRPr="00C80E9B">
        <w:rPr>
          <w:rFonts w:ascii="Georgia" w:hAnsi="Georgia"/>
          <w:b/>
          <w:sz w:val="24"/>
          <w:szCs w:val="24"/>
        </w:rPr>
      </w:r>
      <w:r w:rsidR="00C80E9B" w:rsidRPr="00C80E9B">
        <w:rPr>
          <w:rFonts w:ascii="Georgia" w:hAnsi="Georgia"/>
          <w:b/>
          <w:sz w:val="24"/>
          <w:szCs w:val="24"/>
        </w:rPr>
        <w:fldChar w:fldCharType="end"/>
      </w:r>
      <w:r w:rsidR="00C80E9B" w:rsidRPr="00C80E9B">
        <w:rPr>
          <w:rFonts w:ascii="Georgia" w:hAnsi="Georgia"/>
          <w:b/>
          <w:sz w:val="24"/>
          <w:szCs w:val="24"/>
        </w:rPr>
        <w:fldChar w:fldCharType="separate"/>
      </w:r>
      <w:r w:rsidR="00C80E9B" w:rsidRPr="00C80E9B">
        <w:rPr>
          <w:rFonts w:ascii="Georgia" w:hAnsi="Georgia"/>
          <w:b/>
          <w:sz w:val="24"/>
          <w:szCs w:val="24"/>
        </w:rPr>
        <w:t>(21)</w:t>
      </w:r>
      <w:r w:rsidR="00C80E9B"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Pr>
          <w:rFonts w:ascii="Georgia" w:hAnsi="Georgia"/>
          <w:sz w:val="24"/>
          <w:szCs w:val="24"/>
        </w:rPr>
        <w:t xml:space="preserve">This analysis is being carried out in partnership with the MIHG (Miami Institute for Human Genomics).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genomic visualization of </w:t>
      </w:r>
      <w:r>
        <w:rPr>
          <w:rFonts w:ascii="Georgia" w:hAnsi="Georgia"/>
          <w:sz w:val="24"/>
          <w:szCs w:val="24"/>
        </w:rPr>
        <w:t xml:space="preserve">huge 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 xml:space="preserve">The software development process will implement </w:t>
      </w:r>
      <w:r w:rsidRPr="00F31E55">
        <w:rPr>
          <w:rFonts w:ascii="Georgia" w:hAnsi="Georgia"/>
          <w:b/>
          <w:sz w:val="24"/>
          <w:szCs w:val="24"/>
        </w:rPr>
        <w:lastRenderedPageBreak/>
        <w:t>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list of requirements 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CC0A1D">
      <w:pPr>
        <w:numPr>
          <w:ilvl w:val="0"/>
          <w:numId w:val="10"/>
        </w:numPr>
        <w:spacing w:before="120"/>
        <w:rPr>
          <w:rFonts w:ascii="Georgia" w:hAnsi="Georgia"/>
          <w:sz w:val="24"/>
          <w:szCs w:val="24"/>
        </w:rPr>
      </w:pPr>
      <w:r w:rsidRPr="00763960">
        <w:rPr>
          <w:rFonts w:ascii="Georgia" w:hAnsi="Georgia"/>
          <w:sz w:val="24"/>
          <w:szCs w:val="24"/>
        </w:rPr>
        <w:t xml:space="preserve">Low barriers to usage </w:t>
      </w:r>
    </w:p>
    <w:p w:rsidR="00B537BF" w:rsidRDefault="00B537BF" w:rsidP="00B537BF">
      <w:pPr>
        <w:numPr>
          <w:ilvl w:val="1"/>
          <w:numId w:val="10"/>
        </w:numPr>
        <w:spacing w:before="120"/>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B537BF" w:rsidP="00B537BF">
      <w:pPr>
        <w:numPr>
          <w:ilvl w:val="1"/>
          <w:numId w:val="10"/>
        </w:numPr>
        <w:spacing w:before="120"/>
        <w:rPr>
          <w:rFonts w:ascii="Georgia" w:hAnsi="Georgia"/>
          <w:sz w:val="24"/>
          <w:szCs w:val="24"/>
        </w:rPr>
      </w:pPr>
      <w:r>
        <w:rPr>
          <w:rFonts w:ascii="Georgia" w:hAnsi="Georgia"/>
          <w:sz w:val="24"/>
          <w:szCs w:val="24"/>
        </w:rPr>
        <w:t>I</w:t>
      </w:r>
      <w:r w:rsidR="002605D0">
        <w:rPr>
          <w:rFonts w:ascii="Georgia" w:hAnsi="Georgia"/>
          <w:sz w:val="24"/>
          <w:szCs w:val="24"/>
        </w:rPr>
        <w:t xml:space="preserve">ntuitive </w:t>
      </w:r>
      <w:r w:rsidR="00CC0A1D">
        <w:rPr>
          <w:rFonts w:ascii="Georgia" w:hAnsi="Georgia"/>
          <w:sz w:val="24"/>
          <w:szCs w:val="24"/>
        </w:rPr>
        <w:t>interface</w:t>
      </w:r>
    </w:p>
    <w:p w:rsidR="00660831" w:rsidRDefault="00660831" w:rsidP="00660831">
      <w:pPr>
        <w:numPr>
          <w:ilvl w:val="1"/>
          <w:numId w:val="10"/>
        </w:numPr>
        <w:spacing w:before="120"/>
        <w:rPr>
          <w:rFonts w:ascii="Georgia" w:hAnsi="Georgia"/>
          <w:sz w:val="24"/>
          <w:szCs w:val="24"/>
        </w:rPr>
      </w:pPr>
      <w:r w:rsidRPr="00660831">
        <w:rPr>
          <w:rFonts w:ascii="Georgia" w:hAnsi="Georgia"/>
          <w:sz w:val="24"/>
          <w:szCs w:val="24"/>
        </w:rPr>
        <w:t>Plug 'n play applications for rapid deployment</w:t>
      </w:r>
    </w:p>
    <w:p w:rsidR="00660831" w:rsidRPr="00660831" w:rsidRDefault="00660831" w:rsidP="00660831">
      <w:pPr>
        <w:numPr>
          <w:ilvl w:val="1"/>
          <w:numId w:val="10"/>
        </w:numPr>
        <w:spacing w:before="120"/>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763960">
      <w:pPr>
        <w:numPr>
          <w:ilvl w:val="0"/>
          <w:numId w:val="10"/>
        </w:numPr>
        <w:spacing w:before="120"/>
        <w:rPr>
          <w:rFonts w:ascii="Georgia" w:hAnsi="Georgia"/>
          <w:sz w:val="24"/>
          <w:szCs w:val="24"/>
        </w:rPr>
      </w:pPr>
      <w:r>
        <w:rPr>
          <w:rFonts w:ascii="Georgia" w:hAnsi="Georgia"/>
          <w:sz w:val="24"/>
          <w:szCs w:val="24"/>
        </w:rPr>
        <w:t>Workflows</w:t>
      </w:r>
    </w:p>
    <w:p w:rsidR="00763960" w:rsidRDefault="00763960" w:rsidP="00B6674B">
      <w:pPr>
        <w:numPr>
          <w:ilvl w:val="1"/>
          <w:numId w:val="10"/>
        </w:numPr>
        <w:spacing w:before="120"/>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B6674B">
      <w:pPr>
        <w:numPr>
          <w:ilvl w:val="1"/>
          <w:numId w:val="10"/>
        </w:numPr>
        <w:spacing w:before="120"/>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B6674B">
      <w:pPr>
        <w:numPr>
          <w:ilvl w:val="1"/>
          <w:numId w:val="10"/>
        </w:numPr>
        <w:spacing w:before="120"/>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B6674B">
      <w:pPr>
        <w:numPr>
          <w:ilvl w:val="1"/>
          <w:numId w:val="10"/>
        </w:numPr>
        <w:spacing w:before="120"/>
        <w:rPr>
          <w:rFonts w:ascii="Georgia" w:hAnsi="Georgia"/>
          <w:sz w:val="24"/>
          <w:szCs w:val="24"/>
        </w:rPr>
      </w:pPr>
      <w:r w:rsidRPr="00757F52">
        <w:rPr>
          <w:rFonts w:ascii="Georgia" w:hAnsi="Georgia"/>
          <w:sz w:val="24"/>
          <w:szCs w:val="24"/>
        </w:rPr>
        <w:t>Persistent data and workflow configurations</w:t>
      </w:r>
    </w:p>
    <w:p w:rsidR="00B537BF" w:rsidRDefault="00B537BF" w:rsidP="00B537BF">
      <w:pPr>
        <w:numPr>
          <w:ilvl w:val="1"/>
          <w:numId w:val="10"/>
        </w:numPr>
        <w:spacing w:before="120"/>
        <w:rPr>
          <w:rFonts w:ascii="Georgia" w:hAnsi="Georgia"/>
          <w:sz w:val="24"/>
          <w:szCs w:val="24"/>
        </w:rPr>
      </w:pPr>
      <w:r w:rsidRPr="00675165">
        <w:rPr>
          <w:rFonts w:ascii="Georgia" w:hAnsi="Georgia"/>
          <w:sz w:val="24"/>
          <w:szCs w:val="24"/>
        </w:rPr>
        <w:t>Loops, conditional branching</w:t>
      </w:r>
    </w:p>
    <w:p w:rsidR="00CC0A1D" w:rsidRDefault="006E3516" w:rsidP="00CC0A1D">
      <w:pPr>
        <w:numPr>
          <w:ilvl w:val="0"/>
          <w:numId w:val="10"/>
        </w:numPr>
        <w:spacing w:before="120"/>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CC0A1D">
      <w:pPr>
        <w:numPr>
          <w:ilvl w:val="0"/>
          <w:numId w:val="10"/>
        </w:numPr>
        <w:spacing w:before="120"/>
        <w:rPr>
          <w:rFonts w:ascii="Georgia" w:hAnsi="Georgia"/>
          <w:sz w:val="24"/>
          <w:szCs w:val="24"/>
        </w:rPr>
      </w:pPr>
      <w:r>
        <w:rPr>
          <w:rFonts w:ascii="Georgia" w:hAnsi="Georgia"/>
          <w:sz w:val="24"/>
          <w:szCs w:val="24"/>
        </w:rPr>
        <w:t>Views</w:t>
      </w:r>
    </w:p>
    <w:p w:rsidR="00285D96" w:rsidRDefault="00285D96" w:rsidP="00285D96">
      <w:pPr>
        <w:numPr>
          <w:ilvl w:val="1"/>
          <w:numId w:val="10"/>
        </w:numPr>
        <w:spacing w:before="120"/>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285D96">
      <w:pPr>
        <w:numPr>
          <w:ilvl w:val="1"/>
          <w:numId w:val="10"/>
        </w:numPr>
        <w:spacing w:before="120"/>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285D96">
      <w:pPr>
        <w:numPr>
          <w:ilvl w:val="1"/>
          <w:numId w:val="10"/>
        </w:numPr>
        <w:spacing w:before="120"/>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93322F">
      <w:pPr>
        <w:numPr>
          <w:ilvl w:val="1"/>
          <w:numId w:val="10"/>
        </w:numPr>
        <w:spacing w:before="120"/>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E20551">
      <w:pPr>
        <w:numPr>
          <w:ilvl w:val="1"/>
          <w:numId w:val="10"/>
        </w:numPr>
        <w:spacing w:before="120"/>
        <w:rPr>
          <w:rFonts w:ascii="Georgia" w:hAnsi="Georgia"/>
          <w:sz w:val="24"/>
          <w:szCs w:val="24"/>
        </w:rPr>
      </w:pPr>
      <w:r w:rsidRPr="00675165">
        <w:rPr>
          <w:rFonts w:ascii="Georgia" w:hAnsi="Georgia"/>
          <w:sz w:val="24"/>
          <w:szCs w:val="24"/>
        </w:rPr>
        <w:t>Fast view update</w:t>
      </w:r>
    </w:p>
    <w:p w:rsidR="00E20551" w:rsidRDefault="006E7903" w:rsidP="00E20551">
      <w:pPr>
        <w:numPr>
          <w:ilvl w:val="1"/>
          <w:numId w:val="10"/>
        </w:numPr>
        <w:spacing w:before="120"/>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B537BF">
      <w:pPr>
        <w:numPr>
          <w:ilvl w:val="1"/>
          <w:numId w:val="10"/>
        </w:numPr>
        <w:spacing w:before="120"/>
        <w:rPr>
          <w:rFonts w:ascii="Georgia" w:hAnsi="Georgia"/>
          <w:sz w:val="24"/>
          <w:szCs w:val="24"/>
        </w:rPr>
      </w:pPr>
      <w:r>
        <w:rPr>
          <w:rFonts w:ascii="Georgia" w:hAnsi="Georgia"/>
          <w:sz w:val="24"/>
          <w:szCs w:val="24"/>
        </w:rPr>
        <w:t>Genomic feature-level annotation by user</w:t>
      </w:r>
    </w:p>
    <w:p w:rsidR="00B6674B" w:rsidRDefault="00CC0A1D" w:rsidP="00CC0A1D">
      <w:pPr>
        <w:numPr>
          <w:ilvl w:val="0"/>
          <w:numId w:val="10"/>
        </w:numPr>
        <w:spacing w:before="120"/>
        <w:rPr>
          <w:rFonts w:ascii="Georgia" w:hAnsi="Georgia"/>
          <w:sz w:val="24"/>
          <w:szCs w:val="24"/>
        </w:rPr>
      </w:pPr>
      <w:r>
        <w:rPr>
          <w:rFonts w:ascii="Georgia" w:hAnsi="Georgia"/>
          <w:sz w:val="24"/>
          <w:szCs w:val="24"/>
        </w:rPr>
        <w:t>Sharing</w:t>
      </w:r>
    </w:p>
    <w:p w:rsidR="00CC0A1D" w:rsidRDefault="00CC0A1D" w:rsidP="00CC0A1D">
      <w:pPr>
        <w:numPr>
          <w:ilvl w:val="1"/>
          <w:numId w:val="10"/>
        </w:numPr>
        <w:spacing w:before="120"/>
        <w:rPr>
          <w:rFonts w:ascii="Georgia" w:hAnsi="Georgia"/>
          <w:sz w:val="24"/>
          <w:szCs w:val="24"/>
        </w:rPr>
      </w:pPr>
      <w:r>
        <w:rPr>
          <w:rFonts w:ascii="Georgia" w:hAnsi="Georgia"/>
          <w:sz w:val="24"/>
          <w:szCs w:val="24"/>
        </w:rPr>
        <w:t>User-defined groups with customizable permissions</w:t>
      </w:r>
    </w:p>
    <w:p w:rsidR="00CC0A1D" w:rsidRPr="00CC0A1D" w:rsidRDefault="00CC0A1D" w:rsidP="00CC0A1D">
      <w:pPr>
        <w:numPr>
          <w:ilvl w:val="1"/>
          <w:numId w:val="10"/>
        </w:numPr>
        <w:spacing w:before="120"/>
        <w:rPr>
          <w:rFonts w:ascii="Georgia" w:hAnsi="Georgia"/>
          <w:sz w:val="24"/>
          <w:szCs w:val="24"/>
        </w:rPr>
      </w:pPr>
      <w:r>
        <w:rPr>
          <w:rFonts w:ascii="Georgia" w:hAnsi="Georgia"/>
          <w:sz w:val="24"/>
          <w:szCs w:val="24"/>
        </w:rPr>
        <w:t>Workflow, report and view sharing among groups</w:t>
      </w:r>
    </w:p>
    <w:p w:rsidR="00D86BBE" w:rsidRDefault="00D86BBE" w:rsidP="00763960">
      <w:pPr>
        <w:numPr>
          <w:ilvl w:val="0"/>
          <w:numId w:val="10"/>
        </w:numPr>
        <w:spacing w:before="120"/>
        <w:rPr>
          <w:rFonts w:ascii="Georgia" w:hAnsi="Georgia"/>
          <w:sz w:val="24"/>
          <w:szCs w:val="24"/>
        </w:rPr>
      </w:pPr>
      <w:r>
        <w:rPr>
          <w:rFonts w:ascii="Georgia" w:hAnsi="Georgia"/>
          <w:sz w:val="24"/>
          <w:szCs w:val="24"/>
        </w:rPr>
        <w:t>Input/Output and execution</w:t>
      </w:r>
    </w:p>
    <w:p w:rsidR="00763960" w:rsidRDefault="00763960" w:rsidP="00D86BBE">
      <w:pPr>
        <w:numPr>
          <w:ilvl w:val="1"/>
          <w:numId w:val="10"/>
        </w:numPr>
        <w:spacing w:before="120"/>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D86BBE">
      <w:pPr>
        <w:numPr>
          <w:ilvl w:val="1"/>
          <w:numId w:val="10"/>
        </w:numPr>
        <w:spacing w:before="120"/>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D86BBE">
      <w:pPr>
        <w:numPr>
          <w:ilvl w:val="1"/>
          <w:numId w:val="10"/>
        </w:numPr>
        <w:spacing w:before="120"/>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D86BBE">
      <w:pPr>
        <w:numPr>
          <w:ilvl w:val="1"/>
          <w:numId w:val="10"/>
        </w:numPr>
        <w:spacing w:before="120"/>
        <w:rPr>
          <w:rFonts w:ascii="Georgia" w:hAnsi="Georgia"/>
          <w:sz w:val="24"/>
          <w:szCs w:val="24"/>
        </w:rPr>
      </w:pPr>
      <w:r w:rsidRPr="00675165">
        <w:rPr>
          <w:rFonts w:ascii="Georgia" w:hAnsi="Georgia"/>
          <w:sz w:val="24"/>
          <w:szCs w:val="24"/>
        </w:rPr>
        <w:t>Cluster execution</w:t>
      </w:r>
    </w:p>
    <w:p w:rsidR="006E7903" w:rsidRPr="00675165" w:rsidRDefault="006E7903" w:rsidP="00D86BBE">
      <w:pPr>
        <w:numPr>
          <w:ilvl w:val="1"/>
          <w:numId w:val="10"/>
        </w:numPr>
        <w:spacing w:before="120"/>
        <w:rPr>
          <w:rFonts w:ascii="Georgia" w:hAnsi="Georgia"/>
          <w:sz w:val="24"/>
          <w:szCs w:val="24"/>
        </w:rPr>
      </w:pPr>
      <w:r w:rsidRPr="00675165">
        <w:rPr>
          <w:rFonts w:ascii="Georgia" w:hAnsi="Georgia"/>
          <w:sz w:val="24"/>
          <w:szCs w:val="24"/>
        </w:rPr>
        <w:t>Grid execution</w:t>
      </w:r>
    </w:p>
    <w:p w:rsidR="006E7903" w:rsidRPr="00675165" w:rsidRDefault="006E7903" w:rsidP="006E7903">
      <w:pPr>
        <w:numPr>
          <w:ilvl w:val="0"/>
          <w:numId w:val="10"/>
        </w:numPr>
        <w:spacing w:before="120"/>
        <w:rPr>
          <w:rFonts w:ascii="Georgia" w:hAnsi="Georgia"/>
          <w:sz w:val="24"/>
          <w:szCs w:val="24"/>
        </w:rPr>
      </w:pPr>
      <w:r w:rsidRPr="00675165">
        <w:rPr>
          <w:rFonts w:ascii="Georgia" w:hAnsi="Georgia"/>
          <w:sz w:val="24"/>
          <w:szCs w:val="24"/>
        </w:rPr>
        <w:t>Maintain state (action history)</w:t>
      </w:r>
    </w:p>
    <w:p w:rsidR="006E7903" w:rsidRPr="00675165" w:rsidRDefault="006E7903" w:rsidP="006E7903">
      <w:pPr>
        <w:numPr>
          <w:ilvl w:val="0"/>
          <w:numId w:val="10"/>
        </w:numPr>
        <w:spacing w:before="120"/>
        <w:rPr>
          <w:rFonts w:ascii="Georgia" w:hAnsi="Georgia"/>
          <w:sz w:val="24"/>
          <w:szCs w:val="24"/>
        </w:rPr>
      </w:pPr>
      <w:r w:rsidRPr="00675165">
        <w:rPr>
          <w:rFonts w:ascii="Georgia" w:hAnsi="Georgia"/>
          <w:sz w:val="24"/>
          <w:szCs w:val="24"/>
        </w:rPr>
        <w:lastRenderedPageBreak/>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D964E5">
        <w:rPr>
          <w:rFonts w:ascii="Georgia" w:hAnsi="Georgia"/>
          <w:sz w:val="24"/>
          <w:szCs w:val="24"/>
        </w:rPr>
        <w:fldChar w:fldCharType="separate"/>
      </w:r>
      <w:r w:rsidR="00D964E5">
        <w:rPr>
          <w:rFonts w:ascii="Georgia" w:hAnsi="Georgia"/>
          <w:sz w:val="24"/>
          <w:szCs w:val="24"/>
        </w:rPr>
        <w:t>(44)</w:t>
      </w:r>
      <w:r w:rsidR="00D964E5">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(45)</w:t>
      </w:r>
      <w:r w:rsidR="00D964E5">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D964E5">
        <w:rPr>
          <w:rFonts w:ascii="Georgia" w:hAnsi="Georgia"/>
          <w:b/>
          <w:sz w:val="24"/>
          <w:szCs w:val="24"/>
        </w:rPr>
        <w:fldChar w:fldCharType="begin"/>
      </w:r>
      <w:r w:rsidR="00D964E5">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D964E5">
        <w:rPr>
          <w:rFonts w:ascii="Georgia" w:hAnsi="Georgia"/>
          <w:b/>
          <w:sz w:val="24"/>
          <w:szCs w:val="24"/>
        </w:rPr>
        <w:fldChar w:fldCharType="separate"/>
      </w:r>
      <w:r w:rsidR="00D964E5">
        <w:rPr>
          <w:rFonts w:ascii="Georgia" w:hAnsi="Georgia"/>
          <w:b/>
          <w:sz w:val="24"/>
          <w:szCs w:val="24"/>
        </w:rPr>
        <w:t>(46)</w:t>
      </w:r>
      <w:r w:rsidR="00D964E5">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6"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3D0D84" w:rsidP="003D0D84">
      <w:pPr>
        <w:autoSpaceDE w:val="0"/>
        <w:autoSpaceDN w:val="0"/>
        <w:adjustRightInd w:val="0"/>
        <w:jc w:val="center"/>
        <w:rPr>
          <w:rFonts w:ascii="Georgia" w:hAnsi="Georgia"/>
          <w:sz w:val="24"/>
          <w:szCs w:val="24"/>
        </w:rPr>
      </w:pPr>
      <w:r w:rsidRPr="003D0D84">
        <w:rPr>
          <w:rFonts w:ascii="Georgia" w:hAnsi="Georgia"/>
          <w:sz w:val="24"/>
          <w:szCs w:val="24"/>
        </w:rPr>
        <w:pict>
          <v:shape id="Picture 2" o:spid="_x0000_i1029" type="#_x0000_t75" alt="view-complete-opaque.png" style="width:468pt;height:301.5pt;visibility:visible;mso-wrap-style:square">
            <v:imagedata r:id="rId17" o:title="view-complete-opaque"/>
          </v:shape>
        </w:pict>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application </w:t>
      </w:r>
      <w:r w:rsidRPr="00F06E57">
        <w:rPr>
          <w:rFonts w:ascii="Georgia" w:hAnsi="Georgia"/>
          <w:color w:val="000000" w:themeColor="text1"/>
          <w:sz w:val="24"/>
          <w:szCs w:val="24"/>
          <w:shd w:val="pct15" w:color="auto" w:fill="FFFFFF"/>
        </w:rPr>
        <w:t>(linked to iBIS?)</w:t>
      </w:r>
      <w:r w:rsidRPr="00E80068">
        <w:rPr>
          <w:rFonts w:ascii="Georgia" w:hAnsi="Georgia"/>
          <w:color w:val="000000" w:themeColor="text1"/>
          <w:sz w:val="24"/>
          <w:szCs w:val="24"/>
        </w:rPr>
        <w:t xml:space="preserve"> and a</w:t>
      </w:r>
      <w:r w:rsidR="00F06E57">
        <w:rPr>
          <w:rFonts w:ascii="Georgia" w:hAnsi="Georgia"/>
          <w:color w:val="000000" w:themeColor="text1"/>
          <w:sz w:val="24"/>
          <w:szCs w:val="24"/>
        </w:rPr>
        <w:t>n automatic</w:t>
      </w:r>
      <w:r w:rsidRPr="00E80068">
        <w:rPr>
          <w:rFonts w:ascii="Georgia" w:hAnsi="Georgia"/>
          <w:color w:val="000000" w:themeColor="text1"/>
          <w:sz w:val="24"/>
          <w:szCs w:val="24"/>
        </w:rPr>
        <w:t xml:space="preserve"> syntax checker </w:t>
      </w:r>
      <w:r w:rsidR="00F06E57">
        <w:rPr>
          <w:rFonts w:ascii="Georgia" w:hAnsi="Georgia"/>
          <w:color w:val="000000" w:themeColor="text1"/>
          <w:sz w:val="24"/>
          <w:szCs w:val="24"/>
        </w:rPr>
        <w:t>ensure</w:t>
      </w:r>
      <w:r w:rsidR="00485933">
        <w:rPr>
          <w:rFonts w:ascii="Georgia" w:hAnsi="Georgia"/>
          <w:color w:val="000000" w:themeColor="text1"/>
          <w:sz w:val="24"/>
          <w:szCs w:val="24"/>
        </w:rPr>
        <w:t>s</w:t>
      </w:r>
      <w:r w:rsidR="00F06E57">
        <w:rPr>
          <w:rFonts w:ascii="Georgia" w:hAnsi="Georgia"/>
          <w:color w:val="000000" w:themeColor="text1"/>
          <w:sz w:val="24"/>
          <w:szCs w:val="24"/>
        </w:rPr>
        <w:t xml:space="preserve"> </w:t>
      </w:r>
      <w:r w:rsidRPr="00E80068">
        <w:rPr>
          <w:rFonts w:ascii="Georgia" w:hAnsi="Georgia"/>
          <w:color w:val="000000" w:themeColor="text1"/>
          <w:sz w:val="24"/>
          <w:szCs w:val="24"/>
        </w:rPr>
        <w:t xml:space="preserve">that application inputs </w:t>
      </w:r>
      <w:r w:rsidR="00D5371B">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F12253" w:rsidP="00F12253">
      <w:pPr>
        <w:spacing w:before="120"/>
        <w:jc w:val="center"/>
        <w:rPr>
          <w:rFonts w:ascii="Georgia" w:hAnsi="Georgia"/>
          <w:sz w:val="24"/>
          <w:szCs w:val="24"/>
        </w:rPr>
      </w:pPr>
      <w:r w:rsidRPr="00C90AC1">
        <w:rPr>
          <w:rFonts w:ascii="Georgia" w:hAnsi="Georgia"/>
          <w:sz w:val="24"/>
          <w:szCs w:val="24"/>
        </w:rPr>
        <w:lastRenderedPageBreak/>
        <w:pict>
          <v:shape id="Picture 1" o:spid="_x0000_i1030" type="#_x0000_t75" alt="workflow-opaque.png" style="width:468pt;height:297.75pt;visibility:visible;mso-wrap-style:square">
            <v:imagedata r:id="rId18" o:title="workflow-opaque"/>
          </v:shape>
        </w:pict>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CB0268" w:rsidP="003D0D84">
      <w:pPr>
        <w:spacing w:before="120"/>
        <w:jc w:val="center"/>
        <w:rPr>
          <w:rFonts w:ascii="Georgia" w:hAnsi="Georgia"/>
          <w:sz w:val="24"/>
          <w:szCs w:val="24"/>
        </w:rPr>
      </w:pPr>
      <w:r w:rsidRPr="00CB0268">
        <w:rPr>
          <w:rFonts w:ascii="Georgia" w:hAnsi="Georgia"/>
          <w:sz w:val="24"/>
          <w:szCs w:val="24"/>
        </w:rPr>
        <w:pict>
          <v:shape id="Object 1" o:spid="_x0000_i1028"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19" o:title="" cropbottom="-195f"/>
            <o:lock v:ext="edit" aspectratio="f"/>
          </v:shape>
        </w:pict>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0"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(47)</w:t>
      </w:r>
      <w:r w:rsidR="00D964E5">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D964E5">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 </w:instrText>
      </w:r>
      <w:r w:rsidR="00D964E5">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EN.CITE.DATA </w:instrText>
      </w:r>
      <w:r w:rsidR="00D964E5">
        <w:rPr>
          <w:rFonts w:ascii="Georgia" w:hAnsi="Georgia"/>
          <w:sz w:val="24"/>
          <w:szCs w:val="24"/>
        </w:rPr>
      </w:r>
      <w:r w:rsidR="00D964E5">
        <w:rPr>
          <w:rFonts w:ascii="Georgia" w:hAnsi="Georgia"/>
          <w:sz w:val="24"/>
          <w:szCs w:val="24"/>
        </w:rPr>
        <w:fldChar w:fldCharType="end"/>
      </w:r>
      <w:r w:rsidR="00D964E5">
        <w:rPr>
          <w:rFonts w:ascii="Georgia" w:hAnsi="Georgia"/>
          <w:sz w:val="24"/>
          <w:szCs w:val="24"/>
        </w:rPr>
        <w:fldChar w:fldCharType="separate"/>
      </w:r>
      <w:r w:rsidR="00D964E5">
        <w:rPr>
          <w:rFonts w:ascii="Georgia" w:hAnsi="Georgia"/>
          <w:sz w:val="24"/>
          <w:szCs w:val="24"/>
        </w:rPr>
        <w:t>(48)</w:t>
      </w:r>
      <w:r w:rsidR="00D964E5">
        <w:rPr>
          <w:rFonts w:ascii="Georgia" w:hAnsi="Georgia"/>
          <w:sz w:val="24"/>
          <w:szCs w:val="24"/>
        </w:rPr>
        <w:fldChar w:fldCharType="end"/>
      </w:r>
      <w:r w:rsidR="00A0328A" w:rsidRPr="00554FBC">
        <w:rPr>
          <w:rFonts w:ascii="Georgia" w:hAnsi="Georgia"/>
          <w:sz w:val="24"/>
          <w:szCs w:val="24"/>
        </w:rPr>
        <w:t xml:space="preserve"> and Pegasys </w:t>
      </w:r>
      <w:r w:rsidR="00D964E5">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D964E5">
        <w:rPr>
          <w:rFonts w:ascii="Georgia" w:hAnsi="Georgia"/>
          <w:sz w:val="24"/>
          <w:szCs w:val="24"/>
        </w:rPr>
        <w:fldChar w:fldCharType="separate"/>
      </w:r>
      <w:r w:rsidR="00D964E5">
        <w:rPr>
          <w:rFonts w:ascii="Georgia" w:hAnsi="Georgia"/>
          <w:sz w:val="24"/>
          <w:szCs w:val="24"/>
        </w:rPr>
        <w:t>(47)</w:t>
      </w:r>
      <w:r w:rsidR="00D964E5">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Pr="000B4C60"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Default="000B4C60" w:rsidP="000B4C60">
      <w:pPr>
        <w:spacing w:before="120"/>
        <w:ind w:firstLine="720"/>
        <w:rPr>
          <w:rFonts w:ascii="Georgia" w:hAnsi="Georgia"/>
          <w:sz w:val="28"/>
          <w:szCs w:val="28"/>
        </w:rPr>
      </w:pPr>
    </w:p>
    <w:p w:rsidR="000B4C60" w:rsidRPr="000B4C60" w:rsidRDefault="000B4C60" w:rsidP="000B4C60">
      <w:pPr>
        <w:spacing w:before="120"/>
        <w:ind w:firstLine="7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AC005F" w:rsidRPr="002D5A21" w:rsidRDefault="00AC005F" w:rsidP="00AC005F">
      <w:pPr>
        <w:pStyle w:val="regulartext"/>
        <w:rPr>
          <w:rFonts w:ascii="Georgia" w:hAnsi="Georgia"/>
          <w:color w:val="548DD4" w:themeColor="text2" w:themeTint="99"/>
        </w:rPr>
      </w:pP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E0312E" w:rsidRP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D964E5" w:rsidRPr="002D5A21">
        <w:rPr>
          <w:rFonts w:ascii="Georgia" w:hAnsi="Georgia"/>
          <w:sz w:val="24"/>
          <w:szCs w:val="24"/>
        </w:rPr>
        <w:fldChar w:fldCharType="begin"/>
      </w:r>
      <w:r w:rsidR="00D964E5" w:rsidRPr="002D5A21">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D964E5" w:rsidRPr="002D5A21">
        <w:rPr>
          <w:rFonts w:ascii="Georgia" w:hAnsi="Georgia"/>
          <w:sz w:val="24"/>
          <w:szCs w:val="24"/>
        </w:rPr>
        <w:fldChar w:fldCharType="separate"/>
      </w:r>
      <w:r w:rsidR="00D964E5" w:rsidRPr="002D5A21">
        <w:rPr>
          <w:rFonts w:ascii="Georgia" w:hAnsi="Georgia"/>
          <w:sz w:val="24"/>
          <w:szCs w:val="24"/>
        </w:rPr>
        <w:t>(49)</w:t>
      </w:r>
      <w:r w:rsidR="00D964E5"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Pr="002D5A21">
        <w:rPr>
          <w:rFonts w:ascii="Georgia" w:hAnsi="Georgia"/>
          <w:sz w:val="24"/>
          <w:szCs w:val="24"/>
        </w:rPr>
        <w:t xml:space="preserve"> </w:t>
      </w:r>
    </w:p>
    <w:p w:rsidR="002D5A21" w:rsidRDefault="002D5A21" w:rsidP="00E0312E">
      <w:pPr>
        <w:spacing w:before="120"/>
        <w:rPr>
          <w:rFonts w:ascii="Georgia" w:hAnsi="Georgia"/>
          <w:sz w:val="24"/>
          <w:szCs w:val="24"/>
        </w:rPr>
      </w:pPr>
      <w:r w:rsidRPr="002D5A21">
        <w:rPr>
          <w:rFonts w:ascii="Georgia" w:hAnsi="Georgia"/>
          <w:sz w:val="24"/>
          <w:szCs w:val="24"/>
        </w:rPr>
        <w:t>Aqwa alpha version will shortly be available for testing, incorporating all of the planned functionality for the gamma release. In the next phase, extensive user testing will be carried out and the results of the tests will be used to inform any additions to the requirements</w:t>
      </w:r>
      <w:r>
        <w:rPr>
          <w:rFonts w:ascii="Georgia" w:hAnsi="Georgia"/>
          <w:sz w:val="24"/>
          <w:szCs w:val="24"/>
        </w:rPr>
        <w:t>.</w:t>
      </w:r>
    </w:p>
    <w:p w:rsidR="002D5A21" w:rsidRDefault="002D5A21" w:rsidP="00E0312E">
      <w:pPr>
        <w:spacing w:before="120"/>
        <w:rPr>
          <w:rFonts w:ascii="Georgia" w:hAnsi="Georgia"/>
          <w:sz w:val="24"/>
          <w:szCs w:val="24"/>
        </w:rPr>
      </w:pPr>
    </w:p>
    <w:p w:rsidR="002D5A21" w:rsidRPr="002D5A21" w:rsidRDefault="002D5A21" w:rsidP="00E0312E">
      <w:pPr>
        <w:spacing w:before="120"/>
        <w:rPr>
          <w:rFonts w:ascii="Georgia" w:hAnsi="Georgia"/>
          <w:sz w:val="24"/>
          <w:szCs w:val="24"/>
        </w:rPr>
      </w:pPr>
      <w:r>
        <w:rPr>
          <w:rFonts w:ascii="Georgia" w:hAnsi="Georgia"/>
          <w:sz w:val="24"/>
          <w:szCs w:val="24"/>
        </w:rPr>
        <w:t>&lt;TIMELINE GRAPH&gt;</w:t>
      </w:r>
    </w:p>
    <w:p w:rsidR="00ED2EB1" w:rsidRDefault="00ED2EB1" w:rsidP="00ED2EB1"/>
    <w:p w:rsidR="00ED2EB1" w:rsidRDefault="00CE7FCB" w:rsidP="00ED2EB1">
      <w:hyperlink r:id="rId21" w:tooltip="Enlarge" w:history="1">
        <w:r w:rsidR="00623F7A" w:rsidRPr="00CE7FCB">
          <w:rPr>
            <w:color w:val="0000FF"/>
          </w:rPr>
          <w:pict>
            <v:shape id="_x0000_i1027" type="#_x0000_t75" alt="" href="http://en.wikipedia.org/wiki/File:Development-iterative.gif" title="&quot;Enlarge&quot;" style="width:11.25pt;height:8.25pt" o:button="t">
              <v:imagedata r:id="rId22" r:href="rId23"/>
            </v:shape>
          </w:pict>
        </w:r>
      </w:hyperlink>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4"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5"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6"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7"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lastRenderedPageBreak/>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D964E5" w:rsidRPr="00D964E5" w:rsidRDefault="00D964E5" w:rsidP="00D964E5">
      <w:r>
        <w:rPr>
          <w:rFonts w:ascii="Georgia" w:hAnsi="Georgia"/>
        </w:rPr>
        <w:fldChar w:fldCharType="begin"/>
      </w:r>
      <w:r>
        <w:rPr>
          <w:rFonts w:ascii="Georgia" w:hAnsi="Georgia"/>
        </w:rPr>
        <w:instrText xml:space="preserve"> ADDIN EN.REFLIST </w:instrText>
      </w:r>
      <w:r>
        <w:rPr>
          <w:rFonts w:ascii="Georgia" w:hAnsi="Georgia"/>
        </w:rPr>
        <w:fldChar w:fldCharType="separate"/>
      </w:r>
      <w:r w:rsidRPr="00D964E5">
        <w:t>1.</w:t>
      </w:r>
      <w:r w:rsidRPr="00D964E5">
        <w:tab/>
        <w:t xml:space="preserve">NHGRI. NHGRI Seeks DNA Sequencing Technologies Fit for Routine Laboratory and Medical Use. 2008 [updated 2008; cited]; Available from: </w:t>
      </w:r>
      <w:hyperlink r:id="rId28" w:history="1">
        <w:r w:rsidRPr="00D964E5">
          <w:rPr>
            <w:rStyle w:val="Hyperlink"/>
          </w:rPr>
          <w:t>http://www.genome.gov/27527585</w:t>
        </w:r>
      </w:hyperlink>
      <w:r w:rsidRPr="00D964E5">
        <w:t>.</w:t>
      </w:r>
    </w:p>
    <w:p w:rsidR="00D964E5" w:rsidRPr="00D964E5" w:rsidRDefault="00D964E5" w:rsidP="00D964E5">
      <w:r w:rsidRPr="00D964E5">
        <w:t>2.</w:t>
      </w:r>
      <w:r w:rsidRPr="00D964E5">
        <w:tab/>
        <w:t>Mardis ER. Next-Generation DNA Sequencing Methods. Annual Review of Genomics and Human Genetics. 2008;9(1):387-402.</w:t>
      </w:r>
    </w:p>
    <w:p w:rsidR="00D964E5" w:rsidRPr="00D964E5" w:rsidRDefault="00D964E5" w:rsidP="00D964E5">
      <w:r w:rsidRPr="00D964E5">
        <w:t>3.</w:t>
      </w:r>
      <w:r w:rsidRPr="00D964E5">
        <w:tab/>
        <w:t>Schuster SC. Next-generation sequencing transforms today's biology. Nat Meth. 2008;5(1):16-8.</w:t>
      </w:r>
    </w:p>
    <w:p w:rsidR="00D964E5" w:rsidRPr="00D964E5" w:rsidRDefault="00D964E5" w:rsidP="00D964E5">
      <w:r w:rsidRPr="00D964E5">
        <w:t>4.</w:t>
      </w:r>
      <w:r w:rsidRPr="00D964E5">
        <w:tab/>
        <w:t>Bennett S. Solexa Ltd. Pharmacogenomics. 2004;5(4):433-8.</w:t>
      </w:r>
    </w:p>
    <w:p w:rsidR="00D964E5" w:rsidRPr="00D964E5" w:rsidRDefault="00D964E5" w:rsidP="00D964E5">
      <w:r w:rsidRPr="00D964E5">
        <w:t>5.</w:t>
      </w:r>
      <w:r w:rsidRPr="00D964E5">
        <w:tab/>
        <w:t>Margulies M, Egholm M, Altman WE, Attiya S, Bader JS, Bemben LA, et al. Genome sequencing in microfabricated high-density picolitre reactors. Nature. 2005;437(7057):376-80.</w:t>
      </w:r>
    </w:p>
    <w:p w:rsidR="00D964E5" w:rsidRPr="00D964E5" w:rsidRDefault="00D964E5" w:rsidP="00D964E5">
      <w:r w:rsidRPr="00D964E5">
        <w:t>6.</w:t>
      </w:r>
      <w:r w:rsidRPr="00D964E5">
        <w:tab/>
        <w:t>Shendure J, Porreca GJ, Reppas NB, Lin X, McCutcheon JP, Rosenbaum AM, et al. Accurate Multiplex Polony Sequencing of an Evolved Bacterial Genome. Science. 2005;309(5741):1728-32.</w:t>
      </w:r>
    </w:p>
    <w:p w:rsidR="00D964E5" w:rsidRPr="00D964E5" w:rsidRDefault="00D964E5" w:rsidP="00D964E5">
      <w:r w:rsidRPr="00D964E5">
        <w:t>7.</w:t>
      </w:r>
      <w:r w:rsidRPr="00D964E5">
        <w:tab/>
        <w:t>Shendure J, Ji H. Next-generation DNA sequencing. Nat Biotech. 2008;26(10):1135-45.</w:t>
      </w:r>
    </w:p>
    <w:p w:rsidR="00D964E5" w:rsidRPr="00D964E5" w:rsidRDefault="00D964E5" w:rsidP="00D964E5">
      <w:r w:rsidRPr="00D964E5">
        <w:t>8.</w:t>
      </w:r>
      <w:r w:rsidRPr="00D964E5">
        <w:tab/>
        <w:t>Bashiardes S, Veile R, Helms C, Mardis ER, Bowcock AM, Lovett M. Direct genomic selection. Nat Methods. 2005;2(1):63-9.</w:t>
      </w:r>
    </w:p>
    <w:p w:rsidR="00D964E5" w:rsidRPr="00D964E5" w:rsidRDefault="00D964E5" w:rsidP="00D964E5">
      <w:r w:rsidRPr="00D964E5">
        <w:t>9.</w:t>
      </w:r>
      <w:r w:rsidRPr="00D964E5">
        <w:tab/>
        <w:t>Okou DT, Steinberg KM, Middle C, Cutler DJ, Albert TJ, Zwick ME. Microarray-based genomic selection for high-throughput resequencing. Nat Methods. 2007;4(11):907-9.</w:t>
      </w:r>
    </w:p>
    <w:p w:rsidR="00D964E5" w:rsidRPr="00D964E5" w:rsidRDefault="00D964E5" w:rsidP="00D964E5">
      <w:r w:rsidRPr="00D964E5">
        <w:t>10.</w:t>
      </w:r>
      <w:r w:rsidRPr="00D964E5">
        <w:tab/>
        <w:t>Fredriksson S, Baner J, Dahl F, Chu A, Ji H, Welch K, et al. Multiplex amplification of all coding sequences within 10 cancer genes by Gene-Collector. Nucleic Acids Res. 2007;35(7):e47. PMCID: 1874629.</w:t>
      </w:r>
    </w:p>
    <w:p w:rsidR="00D964E5" w:rsidRPr="00D964E5" w:rsidRDefault="00D964E5" w:rsidP="00D964E5">
      <w:r w:rsidRPr="00D964E5">
        <w:t>11.</w:t>
      </w:r>
      <w:r w:rsidRPr="00D964E5">
        <w:tab/>
        <w:t>Chevreux B, Pfisterer T, Drescher B, Driesel AJ, Müller WEG, Wetter T, et al. Using the miraEST Assembler for Reliable and Automated mRNA Transcript Assembly and SNP Detection in Sequenced ESTs. Genome Res. 2004;14:1147-59.</w:t>
      </w:r>
    </w:p>
    <w:p w:rsidR="00D964E5" w:rsidRPr="00D964E5" w:rsidRDefault="00D964E5" w:rsidP="00D964E5">
      <w:r w:rsidRPr="00D964E5">
        <w:t>12.</w:t>
      </w:r>
      <w:r w:rsidRPr="00D964E5">
        <w:tab/>
        <w:t xml:space="preserve">Li H, Durbin R. MAQ: Mapping and Assembly with Qualities. 2007 [updated 2007; cited 2008 November 11th]; Available from: </w:t>
      </w:r>
      <w:hyperlink r:id="rId29" w:history="1">
        <w:r w:rsidRPr="00D964E5">
          <w:rPr>
            <w:rStyle w:val="Hyperlink"/>
          </w:rPr>
          <w:t>http://maq.sourceforge.net/</w:t>
        </w:r>
      </w:hyperlink>
      <w:r w:rsidRPr="00D964E5">
        <w:t>.</w:t>
      </w:r>
    </w:p>
    <w:p w:rsidR="00D964E5" w:rsidRPr="00D964E5" w:rsidRDefault="00D964E5" w:rsidP="00D964E5">
      <w:r w:rsidRPr="00D964E5">
        <w:t>13.</w:t>
      </w:r>
      <w:r w:rsidRPr="00D964E5">
        <w:tab/>
        <w:t>Li H, Ruan J, Durbin R. Mapping short DNA sequencing reads and calling variants using mapping quality scores. Genome Res. 2008;18(11):1851-8. PMCID: 2577856.</w:t>
      </w:r>
    </w:p>
    <w:p w:rsidR="00D964E5" w:rsidRPr="00D964E5" w:rsidRDefault="00D964E5" w:rsidP="00D964E5">
      <w:r w:rsidRPr="00D964E5">
        <w:t>14.</w:t>
      </w:r>
      <w:r w:rsidRPr="00D964E5">
        <w:tab/>
        <w:t>Hernandez D, Francois P, Farinelli L, Osteras M, Schrenzel J. De novo bacterial genome sequencing: millions of very short reads assembled on a desktop computer. Genome Res. 2008;18(5):802-9. PMCID: 2336802.</w:t>
      </w:r>
    </w:p>
    <w:p w:rsidR="00D964E5" w:rsidRPr="00D964E5" w:rsidRDefault="00D964E5" w:rsidP="00D964E5">
      <w:r w:rsidRPr="00D964E5">
        <w:t>15.</w:t>
      </w:r>
      <w:r w:rsidRPr="00D964E5">
        <w:tab/>
        <w:t>Chaisson MJ, Pevzner PA. Short read fragment assembly of bacterial genomes. Genome Res. 2008;18(2):324-30. PMCID: 2203630.</w:t>
      </w:r>
    </w:p>
    <w:p w:rsidR="00D964E5" w:rsidRPr="00D964E5" w:rsidRDefault="00D964E5" w:rsidP="00D964E5">
      <w:r w:rsidRPr="00D964E5">
        <w:t>16.</w:t>
      </w:r>
      <w:r w:rsidRPr="00D964E5">
        <w:tab/>
        <w:t>Dohm JC, Lottaz C, Borodina T, Himmelbauer H. SHARCGS, a fast and highly accurate short-read assembly algorithm for de novo genomic sequencing. Genome Res. 2007;17(11):1697-706. PMCID: 2045152.</w:t>
      </w:r>
    </w:p>
    <w:p w:rsidR="00D964E5" w:rsidRPr="00D964E5" w:rsidRDefault="00D964E5" w:rsidP="00D964E5">
      <w:r w:rsidRPr="00D964E5">
        <w:t>17.</w:t>
      </w:r>
      <w:r w:rsidRPr="00D964E5">
        <w:tab/>
        <w:t>Warren RL, Sutton GG, Jones SJ, Holt RA. Assembling millions of short DNA sequences using SSAKE. Bioinformatics. 2007;23(4):500-1.</w:t>
      </w:r>
    </w:p>
    <w:p w:rsidR="00D964E5" w:rsidRPr="00D964E5" w:rsidRDefault="00D964E5" w:rsidP="00D964E5">
      <w:r w:rsidRPr="00D964E5">
        <w:lastRenderedPageBreak/>
        <w:t>18.</w:t>
      </w:r>
      <w:r w:rsidRPr="00D964E5">
        <w:tab/>
        <w:t>Zerbino DR, Birney E. Velvet: Algorithms for de novo short read assembly using de Bruijn graphs. Genome Res. 2008;18:821-9.</w:t>
      </w:r>
    </w:p>
    <w:p w:rsidR="00D964E5" w:rsidRPr="00D964E5" w:rsidRDefault="00D964E5" w:rsidP="00D964E5">
      <w:r w:rsidRPr="00D964E5">
        <w:t>19.</w:t>
      </w:r>
      <w:r w:rsidRPr="00D964E5">
        <w:tab/>
        <w:t>'t Hoen PAC, Ariyurek Y, Thygesen HH, Vreugdenhil E, Vossen RHAM, de Menezes RX, et al. Deep sequencing-based expression analysis shows major advances in robustness, resolution and inter-lab portability over five microarray platforms. Nucl Acids Res. 2008;36(21):e141-.</w:t>
      </w:r>
    </w:p>
    <w:p w:rsidR="00D964E5" w:rsidRPr="00D964E5" w:rsidRDefault="00D964E5" w:rsidP="00D964E5">
      <w:r w:rsidRPr="00D964E5">
        <w:t>20.</w:t>
      </w:r>
      <w:r w:rsidRPr="00D964E5">
        <w:tab/>
        <w:t>Nagalakshmi U, Wang Z, Waern K, Shou C, Raha D, Gerstein M, et al. The Transcriptional Landscape of the Yeast Genome Defined by RNA Sequencing. Science. 2008;320(5881):1344-9.</w:t>
      </w:r>
    </w:p>
    <w:p w:rsidR="00D964E5" w:rsidRPr="00D964E5" w:rsidRDefault="00D964E5" w:rsidP="00D964E5">
      <w:r w:rsidRPr="00D964E5">
        <w:t>21.</w:t>
      </w:r>
      <w:r w:rsidRPr="00D964E5">
        <w:tab/>
        <w:t>Mortazavi A, Williams BA, McCue K, Schaeffer L, Wold B. Mapping and quantifying mammalian transcriptomes by RNA-Seq. Nat Methods. 2008;5(7):621-8.</w:t>
      </w:r>
    </w:p>
    <w:p w:rsidR="00D964E5" w:rsidRPr="00D964E5" w:rsidRDefault="00D964E5" w:rsidP="00D964E5">
      <w:r w:rsidRPr="00D964E5">
        <w:t>22.</w:t>
      </w:r>
      <w:r w:rsidRPr="00D964E5">
        <w:tab/>
        <w:t>Wang C, Mitsuya Y, Gharizadeh B, Ronaghi M, Shafer RW. Characterization of mutation spectra with ultra-deep pyrosequencing: application to HIV-1 drug resistance. Genome Res. 2007;17(8):1195-201. PMCID: 1933516.</w:t>
      </w:r>
    </w:p>
    <w:p w:rsidR="00D964E5" w:rsidRPr="00D964E5" w:rsidRDefault="00D964E5" w:rsidP="00D964E5">
      <w:r w:rsidRPr="00D964E5">
        <w:t>23.</w:t>
      </w:r>
      <w:r w:rsidRPr="00D964E5">
        <w:tab/>
        <w:t>Kidd JM, Cooper GM, Donahue WF, Hayden HS, Sampas N, Graves T, et al. Mapping and sequencing of structural variation from eight human genomes. Nature. 2008;453(7191):56-64. PMCID: 2424287.</w:t>
      </w:r>
    </w:p>
    <w:p w:rsidR="00D964E5" w:rsidRPr="00D964E5" w:rsidRDefault="00D964E5" w:rsidP="00D964E5">
      <w:r w:rsidRPr="00D964E5">
        <w:t>24.</w:t>
      </w:r>
      <w:r w:rsidRPr="00D964E5">
        <w:tab/>
        <w:t>Campbell PJ, Stephens PJ, Pleasance ED, O'Meara S, Li H, Santarius T, et al. Identification of somatically acquired rearrangements in cancer using genome-wide massively parallel paired-end sequencing. Nat Genet. 2008;40(6):722-9.</w:t>
      </w:r>
    </w:p>
    <w:p w:rsidR="00D964E5" w:rsidRPr="00D964E5" w:rsidRDefault="00D964E5" w:rsidP="00D964E5">
      <w:r w:rsidRPr="00D964E5">
        <w:t>25.</w:t>
      </w:r>
      <w:r w:rsidRPr="00D964E5">
        <w:tab/>
        <w:t>Sebat J, Lakshmi B, Troge J, Alexander J, Young J, Lundin P, et al. Large-scale copy number polymorphism in the human genome. Science. 2004;305(5683):525-8.</w:t>
      </w:r>
    </w:p>
    <w:p w:rsidR="00D964E5" w:rsidRPr="00D964E5" w:rsidRDefault="00D964E5" w:rsidP="00D964E5">
      <w:r w:rsidRPr="00D964E5">
        <w:t>26.</w:t>
      </w:r>
      <w:r w:rsidRPr="00D964E5">
        <w:tab/>
        <w:t>Iafrate AJ, Feuk L, Rivera MN, Listewnik ML, Donahoe PK, Qi Y, et al. Detection of large-scale variation in the human genome. Nat Genet. 2004;36(9):949-51.</w:t>
      </w:r>
    </w:p>
    <w:p w:rsidR="00D964E5" w:rsidRPr="00D964E5" w:rsidRDefault="00D964E5" w:rsidP="00D964E5">
      <w:r w:rsidRPr="00D964E5">
        <w:t>27.</w:t>
      </w:r>
      <w:r w:rsidRPr="00D964E5">
        <w:tab/>
        <w:t>Cooper GM, Nickerson DA, Eichler EE. Mutational and selective effects on copy-number variants in the human genome. Nat Genet. 2007;39(7 Suppl):S22-9.</w:t>
      </w:r>
    </w:p>
    <w:p w:rsidR="00D964E5" w:rsidRPr="00D964E5" w:rsidRDefault="00D964E5" w:rsidP="00D964E5">
      <w:r w:rsidRPr="00D964E5">
        <w:t>28.</w:t>
      </w:r>
      <w:r w:rsidRPr="00D964E5">
        <w:tab/>
        <w:t>Chiang DY, Getz G, Jaffe DB, O'Kelly MJ, Zhao X, Carter SL, et al. High-resolution mapping of copy-number alterations with massively parallel sequencing. Nat Methods. 2009;6(1):99-103. PMCID: 2630795.</w:t>
      </w:r>
    </w:p>
    <w:p w:rsidR="00D964E5" w:rsidRPr="00D964E5" w:rsidRDefault="00D964E5" w:rsidP="00D964E5">
      <w:r w:rsidRPr="00D964E5">
        <w:t>29.</w:t>
      </w:r>
      <w:r w:rsidRPr="00D964E5">
        <w:tab/>
        <w:t>Stein L. Creating a bioinformatics nation. Nature. 2002;417(6885):119-20.</w:t>
      </w:r>
    </w:p>
    <w:p w:rsidR="00D964E5" w:rsidRPr="00D964E5" w:rsidRDefault="00D964E5" w:rsidP="00D964E5">
      <w:r w:rsidRPr="00D964E5">
        <w:t>30.</w:t>
      </w:r>
      <w:r w:rsidRPr="00D964E5">
        <w:tab/>
        <w:t>Bare JC, Shannon PT, Schmid AK, Baliga NS. The Firegoose: two-way integration of diverse data from different bioinformatics web resources with desktop applications. BMC Bioinformatics. 2007;8:456. PMCID: 2211326.</w:t>
      </w:r>
    </w:p>
    <w:p w:rsidR="00D964E5" w:rsidRPr="00D964E5" w:rsidRDefault="00D964E5" w:rsidP="00D964E5">
      <w:r w:rsidRPr="00D964E5">
        <w:t>31.</w:t>
      </w:r>
      <w:r w:rsidRPr="00D964E5">
        <w:tab/>
        <w:t>Gordon PMK, Trinh Q, Sensen CW. Semantic Web Service provision: a realistic framework for Bioinformatics programmers. Bioinformatics. 2007;23(9):1178-80.</w:t>
      </w:r>
    </w:p>
    <w:p w:rsidR="00D964E5" w:rsidRPr="00D964E5" w:rsidRDefault="00D964E5" w:rsidP="00D964E5">
      <w:r w:rsidRPr="00D964E5">
        <w:t>32.</w:t>
      </w:r>
      <w:r w:rsidRPr="00D964E5">
        <w:tab/>
        <w:t>Oinn T, Addis M, Ferris J, Marvin D, Greenwood M, Carver T, et al. Taverna: A tool for the composition and enactment of bioinformatics workflows. Bioinformatics. 2004;20(7):3045 - 54.</w:t>
      </w:r>
    </w:p>
    <w:p w:rsidR="00D964E5" w:rsidRPr="00D964E5" w:rsidRDefault="00D964E5" w:rsidP="00D964E5">
      <w:r w:rsidRPr="00D964E5">
        <w:t>33.</w:t>
      </w:r>
      <w:r w:rsidRPr="00D964E5">
        <w:tab/>
        <w:t>Baker PG, Brass A, Bechhofer S, Goble C, Paton N, Stevens R. TAMBIS--Transparent Access to Multiple Bioinformatics Information Sources. Proc Int Conf Intell Syst Mol Biol. 1998;6:25-34.</w:t>
      </w:r>
    </w:p>
    <w:p w:rsidR="00D964E5" w:rsidRPr="00D964E5" w:rsidRDefault="00D964E5" w:rsidP="00D964E5">
      <w:r w:rsidRPr="00D964E5">
        <w:t>34.</w:t>
      </w:r>
      <w:r w:rsidRPr="00D964E5">
        <w:tab/>
        <w:t>Baker PG, Goble CA, Bechhofer S, Paton NW, Stevens R, Brass A. An ontology for bioinformatics applications. Bioinformatics. 1999;15(6):510-20.</w:t>
      </w:r>
    </w:p>
    <w:p w:rsidR="00D964E5" w:rsidRPr="00D964E5" w:rsidRDefault="00D964E5" w:rsidP="00D964E5">
      <w:r w:rsidRPr="00D964E5">
        <w:t>35.</w:t>
      </w:r>
      <w:r w:rsidRPr="00D964E5">
        <w:tab/>
        <w:t>Stevens R, Baker P, Bechhofer S, Ng G, Jacoby A, Paton NW, et al. TAMBIS: transparent access to multiple bioinformatics information sources. Bioinformatics. 2000;16(2):184-5.</w:t>
      </w:r>
    </w:p>
    <w:p w:rsidR="00D964E5" w:rsidRPr="00D964E5" w:rsidRDefault="00D964E5" w:rsidP="00D964E5">
      <w:r w:rsidRPr="00D964E5">
        <w:t>36.</w:t>
      </w:r>
      <w:r w:rsidRPr="00D964E5">
        <w:tab/>
        <w:t>Rak R, Kurgan L, Reformat M. xGENIA: A comprehensive OWL ontology based on the GENIA corpus. Bioinformation. 2007;1(9):360-2. PMCID: 1891717.</w:t>
      </w:r>
    </w:p>
    <w:p w:rsidR="00D964E5" w:rsidRPr="00D964E5" w:rsidRDefault="00D964E5" w:rsidP="00D964E5">
      <w:r w:rsidRPr="00D964E5">
        <w:t>37.</w:t>
      </w:r>
      <w:r w:rsidRPr="00D964E5">
        <w:tab/>
        <w:t>Karolchik D, Baertsch R, Diekhans M, Furey TS, Hinrichs A, Lu YT, et al. The UCSC Genome Browser Database. Nucleic Acids Res. 2003;31(1):51-4. PMCID: 165576.</w:t>
      </w:r>
    </w:p>
    <w:p w:rsidR="00D964E5" w:rsidRPr="00D964E5" w:rsidRDefault="00D964E5" w:rsidP="00D964E5">
      <w:r w:rsidRPr="00D964E5">
        <w:t>38.</w:t>
      </w:r>
      <w:r w:rsidRPr="00D964E5">
        <w:tab/>
        <w:t>Kuhn RM, Karolchik D, Zweig AS, Wang T, Smith KE, Rosenbloom KR, et al. The UCSC Genome Browser Database: update 2009. Nucleic Acids Res. 2009;37(Database issue):D755-61.</w:t>
      </w:r>
    </w:p>
    <w:p w:rsidR="00D964E5" w:rsidRPr="00D964E5" w:rsidRDefault="00D964E5" w:rsidP="00D964E5">
      <w:r w:rsidRPr="00D964E5">
        <w:t>39.</w:t>
      </w:r>
      <w:r w:rsidRPr="00D964E5">
        <w:tab/>
        <w:t>Stalker J, Gibbins B, Meidl P, Smith J, Spooner W, Hotz HR, et al. The Ensembl Web site: mechanics of a genome browser. Genome Res. 2004;14(5):951-5. PMCID: 479125.</w:t>
      </w:r>
    </w:p>
    <w:p w:rsidR="00D964E5" w:rsidRPr="00D964E5" w:rsidRDefault="00D964E5" w:rsidP="00D964E5">
      <w:r w:rsidRPr="00D964E5">
        <w:t>40.</w:t>
      </w:r>
      <w:r w:rsidRPr="00D964E5">
        <w:tab/>
        <w:t>Stein LD, Mungall C, Shu S, Caudy M, Mangone M, Day A, et al. The generic genome browser: a building block for a model organism system database. Genome Res. 2002;12(10):1599-610. PMCID: 187535.</w:t>
      </w:r>
    </w:p>
    <w:p w:rsidR="00D964E5" w:rsidRPr="00D964E5" w:rsidRDefault="00D964E5" w:rsidP="00D964E5">
      <w:r w:rsidRPr="00D964E5">
        <w:t>41.</w:t>
      </w:r>
      <w:r w:rsidRPr="00D964E5">
        <w:tab/>
        <w:t xml:space="preserve">Donlin MJ. Using the Generic Genome Browser (GBrowse). Curr Protoc Bioinformatics. 2007;Chapter 9:Unit 9 </w:t>
      </w:r>
    </w:p>
    <w:p w:rsidR="00D964E5" w:rsidRPr="00D964E5" w:rsidRDefault="00D964E5" w:rsidP="00D964E5">
      <w:r w:rsidRPr="00D964E5">
        <w:t>42.</w:t>
      </w:r>
      <w:r w:rsidRPr="00D964E5">
        <w:tab/>
        <w:t>Lewis SE, Searle SM, Harris N, Gibson M, Lyer V, Richter J, et al. Apollo: a sequence annotation editor. Genome Biol. 2002;3(12):RESEARCH0082. PMCID: 151184.</w:t>
      </w:r>
    </w:p>
    <w:p w:rsidR="00D964E5" w:rsidRPr="00D964E5" w:rsidRDefault="00D964E5" w:rsidP="00D964E5">
      <w:r w:rsidRPr="00D964E5">
        <w:t>43.</w:t>
      </w:r>
      <w:r w:rsidRPr="00D964E5">
        <w:tab/>
        <w:t>Misra S, Harris N. Using Apollo to browse and edit genome annotations. Curr Protoc Bioinformatics. 2006;Chapter 9:Unit 9 5.</w:t>
      </w:r>
    </w:p>
    <w:p w:rsidR="00D964E5" w:rsidRPr="00D964E5" w:rsidRDefault="00D964E5" w:rsidP="00D964E5">
      <w:r w:rsidRPr="00D964E5">
        <w:t>44.</w:t>
      </w:r>
      <w:r w:rsidRPr="00D964E5">
        <w:tab/>
        <w:t>Simmhan Y, Plale B, Gannon D. A survey of data provenance in e-science. SIGMOD Record. 2005;34(3):31 - 6.</w:t>
      </w:r>
    </w:p>
    <w:p w:rsidR="00D964E5" w:rsidRPr="00D964E5" w:rsidRDefault="00D964E5" w:rsidP="00D964E5">
      <w:r w:rsidRPr="00D964E5">
        <w:t>45.</w:t>
      </w:r>
      <w:r w:rsidRPr="00D964E5">
        <w:tab/>
        <w:t>Feagan L, Rohrer J, Garrett A, Amthauer H, Komp E, Johnson D, et al. Bioinformatics process management: information flow via a computational journal. Source Code for Biology and Medicine. 2007;2(1):9.</w:t>
      </w:r>
    </w:p>
    <w:p w:rsidR="00D964E5" w:rsidRPr="00D964E5" w:rsidRDefault="00D964E5" w:rsidP="00D964E5">
      <w:r w:rsidRPr="00D964E5">
        <w:t>46.</w:t>
      </w:r>
      <w:r w:rsidRPr="00D964E5">
        <w:tab/>
        <w:t>Salzberg S. Genome re-annotation: a wiki solution? Genome Biology. 2007;8(1):102.</w:t>
      </w:r>
    </w:p>
    <w:p w:rsidR="00D964E5" w:rsidRPr="00D964E5" w:rsidRDefault="00D964E5" w:rsidP="00D964E5">
      <w:r w:rsidRPr="00D964E5">
        <w:t>47.</w:t>
      </w:r>
      <w:r w:rsidRPr="00D964E5">
        <w:tab/>
        <w:t>Shah S, He D, Sawkins J, Druce J, Quon G, Lett D, et al. Pegasys: software for executing and integrating analyses of biological sequences. BMC Bioinformatics. 2004;5(1):40.</w:t>
      </w:r>
    </w:p>
    <w:p w:rsidR="00D964E5" w:rsidRPr="00D964E5" w:rsidRDefault="00D964E5" w:rsidP="00D964E5">
      <w:r w:rsidRPr="00D964E5">
        <w:t>48.</w:t>
      </w:r>
      <w:r w:rsidRPr="00D964E5">
        <w:tab/>
        <w:t>Garcia Castro A, Thoraval S, Garcia LJ, Ragan MA. Workflows in bioinformatics: meta-analysis and prototype implementation of a workflow generator. BMC Bioinformatics. 2005;6:87. PMCID: 1090554.</w:t>
      </w:r>
    </w:p>
    <w:p w:rsidR="00D964E5" w:rsidRPr="00D964E5" w:rsidRDefault="00D964E5" w:rsidP="00D964E5">
      <w:r w:rsidRPr="00D964E5">
        <w:t>49.</w:t>
      </w:r>
      <w:r w:rsidRPr="00D964E5">
        <w:tab/>
        <w:t>Bolchini D, Finkelstein A, Perrone V, Nagl S. Better bioinformatics through usability analysis. Bioinformatics. 2009;25(3):406-12.</w:t>
      </w:r>
    </w:p>
    <w:p w:rsidR="00D964E5" w:rsidRDefault="00D964E5" w:rsidP="00D964E5">
      <w:pPr>
        <w:ind w:left="720" w:hanging="720"/>
        <w:rPr>
          <w:rFonts w:ascii="Georgia" w:hAnsi="Georgia"/>
        </w:rPr>
      </w:pPr>
    </w:p>
    <w:p w:rsidR="001B4144" w:rsidRDefault="00D964E5" w:rsidP="003308E3">
      <w:pPr>
        <w:spacing w:before="120"/>
        <w:rPr>
          <w:rFonts w:ascii="Georgia" w:hAnsi="Georgia"/>
        </w:rPr>
      </w:pPr>
      <w:r>
        <w:rPr>
          <w:rFonts w:ascii="Georgia" w:hAnsi="Georgia"/>
        </w:rPr>
        <w:lastRenderedPageBreak/>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DD2" w:rsidRDefault="000A3DD2" w:rsidP="00081495">
      <w:r>
        <w:separator/>
      </w:r>
    </w:p>
  </w:endnote>
  <w:endnote w:type="continuationSeparator" w:id="1">
    <w:p w:rsidR="000A3DD2" w:rsidRDefault="000A3DD2"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DD2" w:rsidRDefault="000A3DD2" w:rsidP="00081495">
      <w:r>
        <w:separator/>
      </w:r>
    </w:p>
  </w:footnote>
  <w:footnote w:type="continuationSeparator" w:id="1">
    <w:p w:rsidR="000A3DD2" w:rsidRDefault="000A3DD2"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E44"/>
    <w:rsid w:val="0002616B"/>
    <w:rsid w:val="00027C10"/>
    <w:rsid w:val="00034462"/>
    <w:rsid w:val="0003497E"/>
    <w:rsid w:val="00034E15"/>
    <w:rsid w:val="00037A0F"/>
    <w:rsid w:val="00037C99"/>
    <w:rsid w:val="000453B7"/>
    <w:rsid w:val="000534B3"/>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A3DD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1185E"/>
    <w:rsid w:val="00115C3F"/>
    <w:rsid w:val="00123FEC"/>
    <w:rsid w:val="00131881"/>
    <w:rsid w:val="00133AF8"/>
    <w:rsid w:val="00144E64"/>
    <w:rsid w:val="001450F6"/>
    <w:rsid w:val="001465F6"/>
    <w:rsid w:val="00152F3B"/>
    <w:rsid w:val="00154076"/>
    <w:rsid w:val="00156EDF"/>
    <w:rsid w:val="00163692"/>
    <w:rsid w:val="00165C4F"/>
    <w:rsid w:val="0016624D"/>
    <w:rsid w:val="00172014"/>
    <w:rsid w:val="001731DA"/>
    <w:rsid w:val="00180242"/>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27C9"/>
    <w:rsid w:val="00242B69"/>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DF7"/>
    <w:rsid w:val="003F6C4C"/>
    <w:rsid w:val="00403A82"/>
    <w:rsid w:val="00411B04"/>
    <w:rsid w:val="00413A48"/>
    <w:rsid w:val="00416C92"/>
    <w:rsid w:val="00436492"/>
    <w:rsid w:val="0044131F"/>
    <w:rsid w:val="0044196D"/>
    <w:rsid w:val="00441F3A"/>
    <w:rsid w:val="004467E8"/>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3B79"/>
    <w:rsid w:val="00554FBC"/>
    <w:rsid w:val="00556093"/>
    <w:rsid w:val="005600AB"/>
    <w:rsid w:val="0056091E"/>
    <w:rsid w:val="00560B95"/>
    <w:rsid w:val="00565235"/>
    <w:rsid w:val="00565CFF"/>
    <w:rsid w:val="005711A5"/>
    <w:rsid w:val="005736DF"/>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96D"/>
    <w:rsid w:val="006A1F6C"/>
    <w:rsid w:val="006A2CE1"/>
    <w:rsid w:val="006A45FC"/>
    <w:rsid w:val="006A54D9"/>
    <w:rsid w:val="006A5584"/>
    <w:rsid w:val="006A665F"/>
    <w:rsid w:val="006B5884"/>
    <w:rsid w:val="006B5C4A"/>
    <w:rsid w:val="006C0670"/>
    <w:rsid w:val="006C071A"/>
    <w:rsid w:val="006C0FFF"/>
    <w:rsid w:val="006C1561"/>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CD2"/>
    <w:rsid w:val="00787CD7"/>
    <w:rsid w:val="00795784"/>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2D51"/>
    <w:rsid w:val="00802EA0"/>
    <w:rsid w:val="00810B4D"/>
    <w:rsid w:val="00811699"/>
    <w:rsid w:val="008132F5"/>
    <w:rsid w:val="008134F1"/>
    <w:rsid w:val="008200B6"/>
    <w:rsid w:val="008217F6"/>
    <w:rsid w:val="0082731A"/>
    <w:rsid w:val="008311F8"/>
    <w:rsid w:val="008313D2"/>
    <w:rsid w:val="0083140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45A7"/>
    <w:rsid w:val="008A6FF7"/>
    <w:rsid w:val="008B103D"/>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706C6"/>
    <w:rsid w:val="00970AB5"/>
    <w:rsid w:val="00990DD8"/>
    <w:rsid w:val="00991DE3"/>
    <w:rsid w:val="009940D4"/>
    <w:rsid w:val="0099487D"/>
    <w:rsid w:val="00995DA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36C7"/>
    <w:rsid w:val="00AE231C"/>
    <w:rsid w:val="00AF4AB5"/>
    <w:rsid w:val="00AF55D2"/>
    <w:rsid w:val="00AF5BB9"/>
    <w:rsid w:val="00B008D4"/>
    <w:rsid w:val="00B0156C"/>
    <w:rsid w:val="00B017EB"/>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3459"/>
    <w:rsid w:val="00C0431A"/>
    <w:rsid w:val="00C10223"/>
    <w:rsid w:val="00C10FC4"/>
    <w:rsid w:val="00C20096"/>
    <w:rsid w:val="00C270B5"/>
    <w:rsid w:val="00C3328D"/>
    <w:rsid w:val="00C34C16"/>
    <w:rsid w:val="00C363AF"/>
    <w:rsid w:val="00C41512"/>
    <w:rsid w:val="00C47577"/>
    <w:rsid w:val="00C53A20"/>
    <w:rsid w:val="00C5792D"/>
    <w:rsid w:val="00C60255"/>
    <w:rsid w:val="00C60A96"/>
    <w:rsid w:val="00C60CA4"/>
    <w:rsid w:val="00C6295E"/>
    <w:rsid w:val="00C71219"/>
    <w:rsid w:val="00C72A7E"/>
    <w:rsid w:val="00C74D54"/>
    <w:rsid w:val="00C751B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FCB"/>
    <w:rsid w:val="00CF1857"/>
    <w:rsid w:val="00CF1A00"/>
    <w:rsid w:val="00CF4AAB"/>
    <w:rsid w:val="00CF6452"/>
    <w:rsid w:val="00D010A2"/>
    <w:rsid w:val="00D04052"/>
    <w:rsid w:val="00D07130"/>
    <w:rsid w:val="00D11009"/>
    <w:rsid w:val="00D1491E"/>
    <w:rsid w:val="00D211B4"/>
    <w:rsid w:val="00D233BC"/>
    <w:rsid w:val="00D25E56"/>
    <w:rsid w:val="00D27380"/>
    <w:rsid w:val="00D340A2"/>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1396"/>
    <w:rsid w:val="00E34A5C"/>
    <w:rsid w:val="00E34EAB"/>
    <w:rsid w:val="00E3602C"/>
    <w:rsid w:val="00E40A12"/>
    <w:rsid w:val="00E411A1"/>
    <w:rsid w:val="00E427AF"/>
    <w:rsid w:val="00E4499A"/>
    <w:rsid w:val="00E44E57"/>
    <w:rsid w:val="00E4711B"/>
    <w:rsid w:val="00E53ADB"/>
    <w:rsid w:val="00E64220"/>
    <w:rsid w:val="00E67262"/>
    <w:rsid w:val="00E6772F"/>
    <w:rsid w:val="00E7140D"/>
    <w:rsid w:val="00E71BC6"/>
    <w:rsid w:val="00E731E2"/>
    <w:rsid w:val="00E747D1"/>
    <w:rsid w:val="00E75A58"/>
    <w:rsid w:val="00E7661B"/>
    <w:rsid w:val="00E80068"/>
    <w:rsid w:val="00E83329"/>
    <w:rsid w:val="00E84166"/>
    <w:rsid w:val="00E91329"/>
    <w:rsid w:val="00E91885"/>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E57"/>
    <w:rsid w:val="00F12253"/>
    <w:rsid w:val="00F14A20"/>
    <w:rsid w:val="00F15895"/>
    <w:rsid w:val="00F20EBC"/>
    <w:rsid w:val="00F2239B"/>
    <w:rsid w:val="00F234ED"/>
    <w:rsid w:val="00F31A22"/>
    <w:rsid w:val="00F31E55"/>
    <w:rsid w:val="00F3724F"/>
    <w:rsid w:val="00F417F1"/>
    <w:rsid w:val="00F43044"/>
    <w:rsid w:val="00F44CB0"/>
    <w:rsid w:val="00F46E26"/>
    <w:rsid w:val="00F47620"/>
    <w:rsid w:val="00F5004E"/>
    <w:rsid w:val="00F50665"/>
    <w:rsid w:val="00F51EF5"/>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5A5D"/>
    <w:rsid w:val="00FD6641"/>
    <w:rsid w:val="00FD694C"/>
    <w:rsid w:val="00FD6C5B"/>
    <w:rsid w:val="00FE2DAA"/>
    <w:rsid w:val="00FE7F71"/>
    <w:rsid w:val="00FF0165"/>
    <w:rsid w:val="00FF238C"/>
    <w:rsid w:val="00FF2D6D"/>
    <w:rsid w:val="00FF30C3"/>
    <w:rsid w:val="00FF441F"/>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hyperlink" Target="http://www.jmp.com/software/genomics" TargetMode="External"/><Relationship Id="rId18" Type="http://schemas.openxmlformats.org/officeDocument/2006/relationships/image" Target="media/image4.png"/><Relationship Id="rId26" Type="http://schemas.openxmlformats.org/officeDocument/2006/relationships/hyperlink" Target="http://grants.nih.gov/grants/funding/424/SF424_RR_Guide_General_Adobe_VerA.doc" TargetMode="External"/><Relationship Id="rId3" Type="http://schemas.openxmlformats.org/officeDocument/2006/relationships/styles" Target="styles.xml"/><Relationship Id="rId21" Type="http://schemas.openxmlformats.org/officeDocument/2006/relationships/hyperlink" Target="http://en.wikipedia.org/wiki/File:Development-iterative.gi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grants.nih.gov/grants/guide/notice-files/not98-024.html" TargetMode="External"/><Relationship Id="rId2" Type="http://schemas.openxmlformats.org/officeDocument/2006/relationships/numbering" Target="numbering.xml"/><Relationship Id="rId16" Type="http://schemas.openxmlformats.org/officeDocument/2006/relationships/hyperlink" Target="http://jbrowse.org" TargetMode="External"/><Relationship Id="rId20" Type="http://schemas.openxmlformats.org/officeDocument/2006/relationships/hyperlink" Target="http://www.dojotoolkit.org" TargetMode="External"/><Relationship Id="rId29" Type="http://schemas.openxmlformats.org/officeDocument/2006/relationships/hyperlink" Target="http://maq.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hyperlink" Target="mailto:brooksl@mail.nih.gov" TargetMode="External"/><Relationship Id="rId5" Type="http://schemas.openxmlformats.org/officeDocument/2006/relationships/webSettings" Target="webSettings.xml"/><Relationship Id="rId15" Type="http://schemas.openxmlformats.org/officeDocument/2006/relationships/hyperlink" Target="http://www.ncbi.nlm.nih.gov/Traces/sra/sra.cgi" TargetMode="External"/><Relationship Id="rId23" Type="http://schemas.openxmlformats.org/officeDocument/2006/relationships/image" Target="http://en.wikipedia.org/skins-1.5/common/images/magnify-clip.png" TargetMode="External"/><Relationship Id="rId28" Type="http://schemas.openxmlformats.org/officeDocument/2006/relationships/hyperlink" Target="http://www.genome.gov/27527585" TargetMode="External"/><Relationship Id="rId10" Type="http://schemas.openxmlformats.org/officeDocument/2006/relationships/hyperlink" Target="http://www.nanoporetech.com"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hyperlink" Target="http://era.nih.gov/ElectronicReceipt/pdf_guidelines.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6C41F-5EFA-48CC-8A1D-87A83374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16028</Words>
  <Characters>91366</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107180</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2009-04-18T13:40:00Z</dcterms:created>
  <dcterms:modified xsi:type="dcterms:W3CDTF">2009-04-18T13:41:00Z</dcterms:modified>
</cp:coreProperties>
</file>