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9D37B0">
        <w:rPr>
          <w:rFonts w:ascii="Georgia" w:hAnsi="Georgia"/>
          <w:sz w:val="24"/>
          <w:szCs w:val="24"/>
        </w:rPr>
        <w:fldChar w:fldCharType="separate"/>
      </w:r>
      <w:r w:rsidR="00D964E5">
        <w:rPr>
          <w:rFonts w:ascii="Georgia" w:hAnsi="Georgia"/>
          <w:sz w:val="24"/>
          <w:szCs w:val="24"/>
        </w:rPr>
        <w:t>(1)</w:t>
      </w:r>
      <w:r w:rsidR="009D37B0">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9D37B0">
        <w:rPr>
          <w:rFonts w:ascii="Georgia" w:hAnsi="Georgia"/>
          <w:sz w:val="24"/>
          <w:szCs w:val="24"/>
        </w:rPr>
        <w:fldChar w:fldCharType="separate"/>
      </w:r>
      <w:r w:rsidR="00D964E5">
        <w:rPr>
          <w:rFonts w:ascii="Georgia" w:hAnsi="Georgia"/>
          <w:sz w:val="24"/>
          <w:szCs w:val="24"/>
        </w:rPr>
        <w:t>(2)</w:t>
      </w:r>
      <w:r w:rsidR="009D37B0">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9D37B0">
        <w:rPr>
          <w:rFonts w:ascii="Georgia" w:hAnsi="Georgia"/>
          <w:sz w:val="24"/>
          <w:szCs w:val="24"/>
        </w:rPr>
        <w:fldChar w:fldCharType="separate"/>
      </w:r>
      <w:r w:rsidR="00D964E5">
        <w:rPr>
          <w:rFonts w:ascii="Georgia" w:hAnsi="Georgia"/>
          <w:sz w:val="24"/>
          <w:szCs w:val="24"/>
        </w:rPr>
        <w:t>(2, 3)</w:t>
      </w:r>
      <w:r w:rsidR="009D37B0">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(4)</w:t>
      </w:r>
      <w:r w:rsidR="009D37B0">
        <w:rPr>
          <w:rFonts w:ascii="Georgia" w:hAnsi="Georgia"/>
          <w:sz w:val="24"/>
          <w:szCs w:val="24"/>
        </w:rPr>
        <w:fldChar w:fldCharType="end"/>
      </w:r>
      <w:r w:rsidR="00D1491E" w:rsidRPr="009C6530">
        <w:rPr>
          <w:rFonts w:ascii="Georgia" w:hAnsi="Georgia"/>
          <w:sz w:val="24"/>
          <w:szCs w:val="24"/>
        </w:rPr>
        <w:t xml:space="preserve">, Roche/454 </w:t>
      </w:r>
      <w:r w:rsidR="009D37B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(5)</w:t>
      </w:r>
      <w:r w:rsidR="009D37B0">
        <w:rPr>
          <w:rFonts w:ascii="Georgia" w:hAnsi="Georgia"/>
          <w:sz w:val="24"/>
          <w:szCs w:val="24"/>
        </w:rPr>
        <w:fldChar w:fldCharType="end"/>
      </w:r>
      <w:r w:rsidR="00D1491E" w:rsidRPr="009C6530">
        <w:rPr>
          <w:rFonts w:ascii="Georgia" w:hAnsi="Georgia"/>
          <w:sz w:val="24"/>
          <w:szCs w:val="24"/>
        </w:rPr>
        <w:t xml:space="preserve"> and ABI/SOLiD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9D37B0">
        <w:rPr>
          <w:rFonts w:ascii="Georgia" w:hAnsi="Georgia"/>
          <w:sz w:val="24"/>
          <w:szCs w:val="24"/>
        </w:rPr>
        <w:fldChar w:fldCharType="separate"/>
      </w:r>
      <w:r w:rsidR="00D964E5">
        <w:rPr>
          <w:rFonts w:ascii="Georgia" w:hAnsi="Georgia"/>
          <w:sz w:val="24"/>
          <w:szCs w:val="24"/>
        </w:rPr>
        <w:t>(6)</w:t>
      </w:r>
      <w:r w:rsidR="009D37B0">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the entirety of 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 problems to be solved 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in a plug ‘n play 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AD29F3" w:rsidP="003308E3">
      <w:pPr>
        <w:pStyle w:val="NormalWeb"/>
        <w:spacing w:before="120" w:beforeAutospacing="0"/>
        <w:rPr>
          <w:rFonts w:ascii="Georgia" w:hAnsi="Georgia"/>
        </w:rPr>
      </w:pPr>
      <w:r w:rsidRPr="009D37B0">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5935AA" w:rsidRPr="005935AA" w:rsidRDefault="005935AA" w:rsidP="003308E3">
      <w:pPr>
        <w:pStyle w:val="NormalWeb"/>
        <w:spacing w:before="120" w:beforeAutospacing="0"/>
        <w:rPr>
          <w:rFonts w:ascii="Georgia" w:hAnsi="Georgia"/>
          <w:shd w:val="pct15" w:color="auto" w:fill="FFFFFF"/>
        </w:rPr>
      </w:pPr>
      <w:r w:rsidRPr="005935AA">
        <w:rPr>
          <w:rFonts w:ascii="Georgia" w:hAnsi="Georgia"/>
          <w:shd w:val="pct15" w:color="auto" w:fill="FFFFFF"/>
        </w:rPr>
        <w:t>(Unnecessary</w:t>
      </w:r>
      <w:r w:rsidR="009558BF">
        <w:rPr>
          <w:rFonts w:ascii="Georgia" w:hAnsi="Georgia"/>
          <w:shd w:val="pct15" w:color="auto" w:fill="FFFFFF"/>
        </w:rPr>
        <w:t>?</w:t>
      </w:r>
      <w:r w:rsidRPr="005935AA">
        <w:rPr>
          <w:rFonts w:ascii="Georgia" w:hAnsi="Georgia"/>
          <w:shd w:val="pct15" w:color="auto" w:fill="FFFFFF"/>
        </w:rPr>
        <w:t>)</w:t>
      </w:r>
      <w:r w:rsidRPr="005935AA">
        <w:rPr>
          <w:rFonts w:ascii="Georgia" w:hAnsi="Georgia"/>
          <w:shd w:val="pct15" w:color="auto" w:fill="FFFFFF"/>
        </w:rPr>
        <w:br/>
        <w:t>Prior to sequencing, NextGen sample preparation varies considerably but usually involves multiple steps taking 2–4 days to complete,</w:t>
      </w:r>
      <w:r w:rsidRPr="005935AA">
        <w:rPr>
          <w:rFonts w:ascii="Georgia" w:hAnsi="Georgia"/>
          <w:shd w:val="pct15" w:color="auto" w:fill="FFFFFF"/>
          <w:vertAlign w:val="superscript"/>
        </w:rPr>
        <w:t xml:space="preserve"> </w:t>
      </w:r>
      <w:r w:rsidRPr="005935AA">
        <w:rPr>
          <w:rFonts w:ascii="Georgia" w:hAnsi="Georgia"/>
          <w:shd w:val="pct15" w:color="auto" w:fill="FFFFFF"/>
        </w:rPr>
        <w:t>depending on the platform. ‘Barcodes’ – unique identifier sequences added to reads – can also be used to analyze multiple samples within the same separate flow-cell lanes</w:t>
      </w:r>
      <w:r w:rsidRPr="005935AA">
        <w:rPr>
          <w:rFonts w:ascii="Georgia" w:hAnsi="Georgia"/>
          <w:shd w:val="pct15" w:color="auto" w:fill="FFFFFF"/>
          <w:vertAlign w:val="superscript"/>
        </w:rPr>
        <w:t xml:space="preserve"> </w:t>
      </w:r>
      <w:r w:rsidRPr="005935AA">
        <w:rPr>
          <w:rFonts w:ascii="Georgia" w:hAnsi="Georgia"/>
          <w:shd w:val="pct15" w:color="auto" w:fill="FFFFFF"/>
        </w:rPr>
        <w:t>or compartments. These barcodes are ligated to individual samples which are then pooled and sequenced and later separated out based on their barcode.</w:t>
      </w:r>
      <w:r w:rsidRPr="005935AA">
        <w:rPr>
          <w:rFonts w:ascii="Georgia" w:hAnsi="Georgia"/>
          <w:shd w:val="pct15" w:color="auto" w:fill="FFFFFF"/>
          <w:vertAlign w:val="superscript"/>
        </w:rPr>
        <w:t xml:space="preserve"> </w:t>
      </w:r>
      <w:r w:rsidRPr="005935AA">
        <w:rPr>
          <w:rFonts w:ascii="Georgia" w:hAnsi="Georgia"/>
          <w:shd w:val="pct15" w:color="auto" w:fill="FFFFFF"/>
        </w:rPr>
        <w:t>Barcode-based multiplexing and other incremental innovations in process streamlining, automation and chemistry</w:t>
      </w:r>
      <w:r w:rsidRPr="005935AA">
        <w:rPr>
          <w:rFonts w:ascii="Georgia" w:hAnsi="Georgia"/>
          <w:shd w:val="pct15" w:color="auto" w:fill="FFFFFF"/>
          <w:vertAlign w:val="superscript"/>
        </w:rPr>
        <w:t xml:space="preserve"> </w:t>
      </w:r>
      <w:r w:rsidRPr="005935AA">
        <w:rPr>
          <w:rFonts w:ascii="Georgia" w:hAnsi="Georgia"/>
          <w:shd w:val="pct15" w:color="auto" w:fill="FFFFFF"/>
        </w:rPr>
        <w:t xml:space="preserve">refinements will continue to reduce costs and sequencing errors. </w:t>
      </w:r>
    </w:p>
    <w:p w:rsidR="005935AA" w:rsidRDefault="005935AA" w:rsidP="003308E3">
      <w:pPr>
        <w:pStyle w:val="NormalWeb"/>
        <w:spacing w:before="120" w:beforeAutospacing="0"/>
        <w:rPr>
          <w:rFonts w:ascii="Georgia" w:hAnsi="Georgia" w:cs="TradeGothic-BoldTwo"/>
          <w:bCs/>
        </w:rPr>
      </w:pPr>
      <w:r w:rsidRPr="005935AA">
        <w:rPr>
          <w:rFonts w:ascii="Georgia" w:hAnsi="Georgia"/>
          <w:shd w:val="pct15" w:color="auto" w:fill="FFFFFF"/>
        </w:rPr>
        <w:t xml:space="preserve">The recent rollout of paired-end reads (a.k.a. mate-paired reads) – short reads that flank a region of known length in the sample sequences - by all of the major platforms has provided a major advance in </w:t>
      </w:r>
      <w:r w:rsidRPr="005935AA">
        <w:rPr>
          <w:rFonts w:ascii="Georgia" w:hAnsi="Georgia"/>
          <w:i/>
          <w:shd w:val="pct15" w:color="auto" w:fill="FFFFFF"/>
        </w:rPr>
        <w:t>de novo</w:t>
      </w:r>
      <w:r w:rsidRPr="005935AA">
        <w:rPr>
          <w:rFonts w:ascii="Georgia" w:hAnsi="Georgia"/>
          <w:shd w:val="pct15" w:color="auto" w:fill="FFFFFF"/>
        </w:rPr>
        <w:t xml:space="preserve"> assembly and the correction of reference alignment errors by eliminating alignments that do not match the size of gap between the paired reads </w:t>
      </w:r>
      <w:r w:rsidR="009D37B0">
        <w:rPr>
          <w:rFonts w:ascii="Georgia" w:hAnsi="Georgia"/>
          <w:shd w:val="pct15" w:color="auto" w:fill="FFFFFF"/>
        </w:rPr>
        <w:fldChar w:fldCharType="begin"/>
      </w:r>
      <w:r w:rsidR="00D964E5">
        <w:rPr>
          <w:rFonts w:ascii="Georgia" w:hAnsi="Georgia"/>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9D37B0">
        <w:rPr>
          <w:rFonts w:ascii="Georgia" w:hAnsi="Georgia"/>
          <w:shd w:val="pct15" w:color="auto" w:fill="FFFFFF"/>
        </w:rPr>
        <w:fldChar w:fldCharType="separate"/>
      </w:r>
      <w:r w:rsidR="00D964E5">
        <w:rPr>
          <w:rFonts w:ascii="Georgia" w:hAnsi="Georgia"/>
          <w:shd w:val="pct15" w:color="auto" w:fill="FFFFFF"/>
        </w:rPr>
        <w:t>(7)</w:t>
      </w:r>
      <w:r w:rsidR="009D37B0">
        <w:rPr>
          <w:rFonts w:ascii="Georgia" w:hAnsi="Georgia"/>
          <w:shd w:val="pct15" w:color="auto" w:fill="FFFFFF"/>
        </w:rPr>
        <w:fldChar w:fldCharType="end"/>
      </w:r>
      <w:r w:rsidRPr="005935AA">
        <w:rPr>
          <w:rFonts w:ascii="Georgia" w:hAnsi="Georgia"/>
          <w:shd w:val="pct15" w:color="auto" w:fill="FFFFFF"/>
        </w:rPr>
        <w:t xml:space="preserve">. </w:t>
      </w:r>
      <w:r w:rsidRPr="005935AA">
        <w:rPr>
          <w:rFonts w:ascii="Georgia" w:hAnsi="Georgia" w:cs="TradeGothic-BoldTwo"/>
          <w:bCs/>
          <w:shd w:val="pct15" w:color="auto" w:fill="FFFFFF"/>
        </w:rPr>
        <w:t xml:space="preserve">There is also a strong need for flexible and effective targeted capture methods for isolating reduced genomic subsets – such as genomic regions or exons of candidate genes – implicated in disease prior to NextGen sequencing of multiple individuals. Different approaches have already shown proof-of-concept, such as 10,000-fold </w:t>
      </w:r>
      <w:r w:rsidRPr="005935AA">
        <w:rPr>
          <w:rFonts w:ascii="Georgia" w:hAnsi="Georgia" w:cs="TradeGothic-BoldTwo"/>
          <w:bCs/>
          <w:shd w:val="pct15" w:color="auto" w:fill="FFFFFF"/>
        </w:rPr>
        <w:lastRenderedPageBreak/>
        <w:t xml:space="preserve">enrichment by hybridizing biotinylated BACs (bacterial artificial chromosomes) with targeted segments of genomic DNA </w:t>
      </w:r>
      <w:r w:rsidR="009D37B0">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9D37B0">
        <w:rPr>
          <w:rFonts w:ascii="Georgia" w:hAnsi="Georgia" w:cs="TradeGothic-BoldTwo"/>
          <w:bCs/>
          <w:shd w:val="pct15" w:color="auto" w:fill="FFFFFF"/>
        </w:rPr>
        <w:fldChar w:fldCharType="separate"/>
      </w:r>
      <w:r w:rsidR="00D964E5">
        <w:rPr>
          <w:rFonts w:ascii="Georgia" w:hAnsi="Georgia" w:cs="TradeGothic-BoldTwo"/>
          <w:bCs/>
          <w:shd w:val="pct15" w:color="auto" w:fill="FFFFFF"/>
        </w:rPr>
        <w:t>(8)</w:t>
      </w:r>
      <w:r w:rsidR="009D37B0">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microarray-based enrichment of several kilobase-sized human genomic regions </w:t>
      </w:r>
      <w:r w:rsidR="009D37B0">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 </w:instrText>
      </w:r>
      <w:r w:rsidR="009D37B0">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EN.CITE.DATA </w:instrText>
      </w:r>
      <w:r w:rsidR="009D37B0">
        <w:rPr>
          <w:rFonts w:ascii="Georgia" w:hAnsi="Georgia" w:cs="TradeGothic-BoldTwo"/>
          <w:bCs/>
          <w:shd w:val="pct15" w:color="auto" w:fill="FFFFFF"/>
        </w:rPr>
      </w:r>
      <w:r w:rsidR="009D37B0">
        <w:rPr>
          <w:rFonts w:ascii="Georgia" w:hAnsi="Georgia" w:cs="TradeGothic-BoldTwo"/>
          <w:bCs/>
          <w:shd w:val="pct15" w:color="auto" w:fill="FFFFFF"/>
        </w:rPr>
        <w:fldChar w:fldCharType="end"/>
      </w:r>
      <w:r w:rsidR="009D37B0">
        <w:rPr>
          <w:rFonts w:ascii="Georgia" w:hAnsi="Georgia" w:cs="TradeGothic-BoldTwo"/>
          <w:bCs/>
          <w:shd w:val="pct15" w:color="auto" w:fill="FFFFFF"/>
        </w:rPr>
      </w:r>
      <w:r w:rsidR="009D37B0">
        <w:rPr>
          <w:rFonts w:ascii="Georgia" w:hAnsi="Georgia" w:cs="TradeGothic-BoldTwo"/>
          <w:bCs/>
          <w:shd w:val="pct15" w:color="auto" w:fill="FFFFFF"/>
        </w:rPr>
        <w:fldChar w:fldCharType="separate"/>
      </w:r>
      <w:r w:rsidR="00D964E5">
        <w:rPr>
          <w:rFonts w:ascii="Georgia" w:hAnsi="Georgia" w:cs="TradeGothic-BoldTwo"/>
          <w:bCs/>
          <w:shd w:val="pct15" w:color="auto" w:fill="FFFFFF"/>
        </w:rPr>
        <w:t>(9)</w:t>
      </w:r>
      <w:r w:rsidR="009D37B0">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and multiplex PCR amplification of 170 exons </w:t>
      </w:r>
      <w:r w:rsidR="009D37B0">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9D37B0">
        <w:rPr>
          <w:rFonts w:ascii="Georgia" w:hAnsi="Georgia" w:cs="TradeGothic-BoldTwo"/>
          <w:bCs/>
          <w:shd w:val="pct15" w:color="auto" w:fill="FFFFFF"/>
        </w:rPr>
        <w:fldChar w:fldCharType="separate"/>
      </w:r>
      <w:r w:rsidR="00D964E5">
        <w:rPr>
          <w:rFonts w:ascii="Georgia" w:hAnsi="Georgia" w:cs="TradeGothic-BoldTwo"/>
          <w:bCs/>
          <w:shd w:val="pct15" w:color="auto" w:fill="FFFFFF"/>
        </w:rPr>
        <w:t>(10)</w:t>
      </w:r>
      <w:r w:rsidR="009D37B0">
        <w:rPr>
          <w:rFonts w:ascii="Georgia" w:hAnsi="Georgia" w:cs="TradeGothic-BoldTwo"/>
          <w:bCs/>
          <w:shd w:val="pct15" w:color="auto" w:fill="FFFFFF"/>
        </w:rPr>
        <w:fldChar w:fldCharType="end"/>
      </w:r>
      <w:r w:rsidRPr="005935AA">
        <w:rPr>
          <w:rFonts w:ascii="Georgia" w:hAnsi="Georgia" w:cs="TradeGothic-BoldTwo"/>
          <w:bCs/>
          <w:shd w:val="pct15" w:color="auto" w:fill="FFFFFF"/>
        </w:rPr>
        <w:t>.  Two commercial capture methods are currently available from Nimblegen and Agilent.</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9D37B0">
        <w:rPr>
          <w:rFonts w:ascii="Georgia" w:hAnsi="Georgia"/>
          <w:sz w:val="24"/>
          <w:szCs w:val="24"/>
        </w:rPr>
        <w:fldChar w:fldCharType="separate"/>
      </w:r>
      <w:r w:rsidR="00D964E5">
        <w:rPr>
          <w:rFonts w:ascii="Georgia" w:hAnsi="Georgia"/>
          <w:sz w:val="24"/>
          <w:szCs w:val="24"/>
        </w:rPr>
        <w:t>(11)</w:t>
      </w:r>
      <w:r w:rsidR="009D37B0">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9D37B0">
        <w:rPr>
          <w:rFonts w:ascii="Georgia" w:hAnsi="Georgia"/>
          <w:sz w:val="24"/>
          <w:szCs w:val="24"/>
        </w:rPr>
        <w:fldChar w:fldCharType="separate"/>
      </w:r>
      <w:r w:rsidR="00D964E5">
        <w:rPr>
          <w:rFonts w:ascii="Georgia" w:hAnsi="Georgia"/>
          <w:sz w:val="24"/>
          <w:szCs w:val="24"/>
        </w:rPr>
        <w:t>(12)</w:t>
      </w:r>
      <w:r w:rsidR="009D37B0">
        <w:rPr>
          <w:rFonts w:ascii="Georgia" w:hAnsi="Georgia"/>
          <w:sz w:val="24"/>
          <w:szCs w:val="24"/>
        </w:rPr>
        <w:fldChar w:fldCharType="end"/>
      </w:r>
      <w:r w:rsidR="00F72B00" w:rsidRPr="009C6530">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(13)</w:t>
      </w:r>
      <w:r w:rsidR="009D37B0">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(14)</w:t>
      </w:r>
      <w:r w:rsidR="009D37B0">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(15)</w:t>
      </w:r>
      <w:r w:rsidR="009D37B0">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(16)</w:t>
      </w:r>
      <w:r w:rsidR="009D37B0">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(17)</w:t>
      </w:r>
      <w:r w:rsidR="009D37B0">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9D37B0">
        <w:rPr>
          <w:rFonts w:ascii="Georgia" w:hAnsi="Georgia"/>
          <w:sz w:val="24"/>
          <w:szCs w:val="24"/>
        </w:rPr>
        <w:fldChar w:fldCharType="separate"/>
      </w:r>
      <w:r w:rsidR="00D964E5">
        <w:rPr>
          <w:rFonts w:ascii="Georgia" w:hAnsi="Georgia"/>
          <w:sz w:val="24"/>
          <w:szCs w:val="24"/>
        </w:rPr>
        <w:t>(18)</w:t>
      </w:r>
      <w:r w:rsidR="009D37B0">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9D37B0">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9D37B0">
        <w:rPr>
          <w:rFonts w:ascii="Georgia" w:hAnsi="Georgia" w:cs="Arial"/>
          <w:sz w:val="24"/>
          <w:szCs w:val="24"/>
        </w:rPr>
        <w:fldChar w:fldCharType="separate"/>
      </w:r>
      <w:r w:rsidR="00D964E5">
        <w:rPr>
          <w:rFonts w:ascii="Georgia" w:hAnsi="Georgia" w:cs="Arial"/>
          <w:sz w:val="24"/>
          <w:szCs w:val="24"/>
        </w:rPr>
        <w:t>(19)</w:t>
      </w:r>
      <w:r w:rsidR="009D37B0">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9D37B0">
        <w:rPr>
          <w:rFonts w:ascii="Georgia" w:hAnsi="Georgia"/>
          <w:sz w:val="24"/>
          <w:szCs w:val="24"/>
        </w:rPr>
        <w:fldChar w:fldCharType="separate"/>
      </w:r>
      <w:r w:rsidR="00D964E5">
        <w:rPr>
          <w:rFonts w:ascii="Georgia" w:hAnsi="Georgia"/>
          <w:sz w:val="24"/>
          <w:szCs w:val="24"/>
        </w:rPr>
        <w:t>(20)</w:t>
      </w:r>
      <w:r w:rsidR="009D37B0">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9D37B0">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9D37B0">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9D37B0">
        <w:rPr>
          <w:rFonts w:ascii="Georgia" w:hAnsi="Georgia"/>
          <w:b/>
          <w:sz w:val="24"/>
          <w:szCs w:val="24"/>
        </w:rPr>
      </w:r>
      <w:r w:rsidR="009D37B0">
        <w:rPr>
          <w:rFonts w:ascii="Georgia" w:hAnsi="Georgia"/>
          <w:b/>
          <w:sz w:val="24"/>
          <w:szCs w:val="24"/>
        </w:rPr>
        <w:fldChar w:fldCharType="end"/>
      </w:r>
      <w:r w:rsidR="009D37B0">
        <w:rPr>
          <w:rFonts w:ascii="Georgia" w:hAnsi="Georgia"/>
          <w:b/>
          <w:sz w:val="24"/>
          <w:szCs w:val="24"/>
        </w:rPr>
      </w:r>
      <w:r w:rsidR="009D37B0">
        <w:rPr>
          <w:rFonts w:ascii="Georgia" w:hAnsi="Georgia"/>
          <w:b/>
          <w:sz w:val="24"/>
          <w:szCs w:val="24"/>
        </w:rPr>
        <w:fldChar w:fldCharType="separate"/>
      </w:r>
      <w:r w:rsidR="00D964E5">
        <w:rPr>
          <w:rFonts w:ascii="Georgia" w:hAnsi="Georgia"/>
          <w:b/>
          <w:sz w:val="24"/>
          <w:szCs w:val="24"/>
        </w:rPr>
        <w:t>(21)</w:t>
      </w:r>
      <w:r w:rsidR="009D37B0">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 xml:space="preserve">a digital measure of </w:t>
      </w:r>
      <w:r w:rsidRPr="006F0223">
        <w:rPr>
          <w:rFonts w:ascii="Georgia" w:hAnsi="Georgia" w:cs="Arial"/>
          <w:b/>
          <w:sz w:val="24"/>
          <w:szCs w:val="24"/>
        </w:rPr>
        <w:lastRenderedPageBreak/>
        <w:t>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(22)</w:t>
      </w:r>
      <w:r w:rsidR="009D37B0">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9D37B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(23)</w:t>
      </w:r>
      <w:r w:rsidR="009D37B0">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9D37B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9D37B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9D37B0">
        <w:rPr>
          <w:rFonts w:ascii="Georgia" w:hAnsi="Georgia" w:cs="Arial"/>
          <w:sz w:val="24"/>
          <w:szCs w:val="24"/>
        </w:rPr>
      </w:r>
      <w:r w:rsidR="009D37B0">
        <w:rPr>
          <w:rFonts w:ascii="Georgia" w:hAnsi="Georgia" w:cs="Arial"/>
          <w:sz w:val="24"/>
          <w:szCs w:val="24"/>
        </w:rPr>
        <w:fldChar w:fldCharType="end"/>
      </w:r>
      <w:r w:rsidR="009D37B0">
        <w:rPr>
          <w:rFonts w:ascii="Georgia" w:hAnsi="Georgia" w:cs="Arial"/>
          <w:sz w:val="24"/>
          <w:szCs w:val="24"/>
        </w:rPr>
      </w:r>
      <w:r w:rsidR="009D37B0">
        <w:rPr>
          <w:rFonts w:ascii="Georgia" w:hAnsi="Georgia" w:cs="Arial"/>
          <w:sz w:val="24"/>
          <w:szCs w:val="24"/>
        </w:rPr>
        <w:fldChar w:fldCharType="separate"/>
      </w:r>
      <w:r w:rsidR="00D964E5">
        <w:rPr>
          <w:rFonts w:ascii="Georgia" w:hAnsi="Georgia" w:cs="Arial"/>
          <w:sz w:val="24"/>
          <w:szCs w:val="24"/>
        </w:rPr>
        <w:t>(24)</w:t>
      </w:r>
      <w:r w:rsidR="009D37B0">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DC249D" w:rsidRDefault="00DC249D" w:rsidP="00E4711B">
      <w:pPr>
        <w:spacing w:before="120"/>
        <w:rPr>
          <w:rFonts w:ascii="Georgia" w:hAnsi="Georgia"/>
          <w:sz w:val="24"/>
          <w:szCs w:val="24"/>
          <w:shd w:val="pct15" w:color="auto" w:fill="FFFFFF"/>
        </w:rPr>
      </w:pPr>
      <w:r>
        <w:rPr>
          <w:rFonts w:ascii="Georgia" w:hAnsi="Georgia" w:cs="JansonText-Roman"/>
          <w:sz w:val="24"/>
          <w:szCs w:val="24"/>
          <w:shd w:val="pct15" w:color="auto" w:fill="FFFFFF"/>
        </w:rPr>
        <w:t>(Unnecessary?)</w:t>
      </w:r>
      <w:r>
        <w:rPr>
          <w:rFonts w:ascii="Georgia" w:hAnsi="Georgia" w:cs="JansonText-Roman"/>
          <w:sz w:val="24"/>
          <w:szCs w:val="24"/>
          <w:shd w:val="pct15" w:color="auto" w:fill="FFFFFF"/>
        </w:rPr>
        <w:br/>
      </w:r>
      <w:r w:rsidR="00E4711B" w:rsidRPr="00DC249D">
        <w:rPr>
          <w:rFonts w:ascii="Georgia" w:hAnsi="Georgia"/>
          <w:sz w:val="24"/>
          <w:szCs w:val="24"/>
          <w:shd w:val="pct15" w:color="auto" w:fill="FFFFFF"/>
        </w:rPr>
        <w:t xml:space="preserve">At the level of large-scale genomic variation, copy number variations </w:t>
      </w:r>
      <w:r w:rsidR="00E4711B" w:rsidRPr="00DC249D">
        <w:rPr>
          <w:rFonts w:ascii="Georgia" w:hAnsi="Georgia" w:cs="Arial"/>
          <w:sz w:val="24"/>
          <w:szCs w:val="24"/>
          <w:shd w:val="pct15" w:color="auto" w:fill="FFFFFF"/>
        </w:rPr>
        <w:t>(CNV</w:t>
      </w:r>
      <w:r w:rsidR="00E4711B" w:rsidRPr="00DC249D">
        <w:rPr>
          <w:rFonts w:ascii="Georgia" w:hAnsi="Georgia"/>
          <w:sz w:val="24"/>
          <w:szCs w:val="24"/>
          <w:shd w:val="pct15" w:color="auto" w:fill="FFFFFF"/>
        </w:rPr>
        <w:t xml:space="preserve">) remain difficult to measure although CNVs of </w:t>
      </w:r>
      <w:r w:rsidR="00E4711B" w:rsidRPr="00DC249D">
        <w:rPr>
          <w:rFonts w:ascii="Georgia" w:hAnsi="Georgia" w:cs="Arial"/>
          <w:sz w:val="24"/>
          <w:szCs w:val="24"/>
          <w:shd w:val="pct15" w:color="auto" w:fill="FFFFFF"/>
        </w:rPr>
        <w:t xml:space="preserve">100 kilobases and greater contribute substantially to genomic variation between normal humans </w:t>
      </w:r>
      <w:r w:rsidR="009D37B0">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 </w:instrText>
      </w:r>
      <w:r w:rsidR="009D37B0">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EN.CITE.DATA </w:instrText>
      </w:r>
      <w:r w:rsidR="009D37B0">
        <w:rPr>
          <w:rFonts w:ascii="Georgia" w:hAnsi="Georgia" w:cs="Arial"/>
          <w:sz w:val="24"/>
          <w:szCs w:val="24"/>
          <w:shd w:val="pct15" w:color="auto" w:fill="FFFFFF"/>
        </w:rPr>
      </w:r>
      <w:r w:rsidR="009D37B0">
        <w:rPr>
          <w:rFonts w:ascii="Georgia" w:hAnsi="Georgia" w:cs="Arial"/>
          <w:sz w:val="24"/>
          <w:szCs w:val="24"/>
          <w:shd w:val="pct15" w:color="auto" w:fill="FFFFFF"/>
        </w:rPr>
        <w:fldChar w:fldCharType="end"/>
      </w:r>
      <w:r w:rsidR="009D37B0">
        <w:rPr>
          <w:rFonts w:ascii="Georgia" w:hAnsi="Georgia" w:cs="Arial"/>
          <w:sz w:val="24"/>
          <w:szCs w:val="24"/>
          <w:shd w:val="pct15" w:color="auto" w:fill="FFFFFF"/>
        </w:rPr>
      </w:r>
      <w:r w:rsidR="009D37B0">
        <w:rPr>
          <w:rFonts w:ascii="Georgia" w:hAnsi="Georgia" w:cs="Arial"/>
          <w:sz w:val="24"/>
          <w:szCs w:val="24"/>
          <w:shd w:val="pct15" w:color="auto" w:fill="FFFFFF"/>
        </w:rPr>
        <w:fldChar w:fldCharType="separate"/>
      </w:r>
      <w:r w:rsidR="00D964E5">
        <w:rPr>
          <w:rFonts w:ascii="Georgia" w:hAnsi="Georgia" w:cs="Arial"/>
          <w:sz w:val="24"/>
          <w:szCs w:val="24"/>
          <w:shd w:val="pct15" w:color="auto" w:fill="FFFFFF"/>
        </w:rPr>
        <w:t>(25, 26)</w:t>
      </w:r>
      <w:r w:rsidR="009D37B0">
        <w:rPr>
          <w:rFonts w:ascii="Georgia" w:hAnsi="Georgia" w:cs="Arial"/>
          <w:sz w:val="24"/>
          <w:szCs w:val="24"/>
          <w:shd w:val="pct15" w:color="auto" w:fill="FFFFFF"/>
        </w:rPr>
        <w:fldChar w:fldCharType="end"/>
      </w:r>
      <w:r w:rsidR="00E4711B" w:rsidRPr="00DC249D">
        <w:rPr>
          <w:rFonts w:ascii="Georgia" w:hAnsi="Georgia"/>
          <w:sz w:val="24"/>
          <w:szCs w:val="24"/>
          <w:shd w:val="pct15" w:color="auto" w:fill="FFFFFF"/>
        </w:rPr>
        <w:t xml:space="preserve">. Microarray-based approaches for detecting CNVs depend on microarray signal intensity differences to predict regions of variation and cannot detect inversions. Before the advent of NextGen CNV technique, only a small fraction of copy-number variant (CNV) base pairs had been determined at the sequence level </w:t>
      </w:r>
      <w:r w:rsidR="009D37B0">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9D37B0">
        <w:rPr>
          <w:rFonts w:ascii="Georgia" w:hAnsi="Georgia"/>
          <w:sz w:val="24"/>
          <w:szCs w:val="24"/>
          <w:shd w:val="pct15" w:color="auto" w:fill="FFFFFF"/>
        </w:rPr>
        <w:fldChar w:fldCharType="separate"/>
      </w:r>
      <w:r w:rsidR="00D964E5">
        <w:rPr>
          <w:rFonts w:ascii="Georgia" w:hAnsi="Georgia"/>
          <w:sz w:val="24"/>
          <w:szCs w:val="24"/>
          <w:shd w:val="pct15" w:color="auto" w:fill="FFFFFF"/>
        </w:rPr>
        <w:t>(27)</w:t>
      </w:r>
      <w:r w:rsidR="009D37B0">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 xml:space="preserve">.  NextGen CNV mapping allows the discovery </w:t>
      </w:r>
      <w:r w:rsidR="00712657" w:rsidRPr="00DC249D">
        <w:rPr>
          <w:rFonts w:ascii="Georgia" w:hAnsi="Georgia"/>
          <w:sz w:val="24"/>
          <w:szCs w:val="24"/>
          <w:shd w:val="pct15" w:color="auto" w:fill="FFFFFF"/>
        </w:rPr>
        <w:t xml:space="preserve">of </w:t>
      </w:r>
      <w:r w:rsidR="00E4711B" w:rsidRPr="00DC249D">
        <w:rPr>
          <w:rFonts w:ascii="Georgia" w:hAnsi="Georgia"/>
          <w:sz w:val="24"/>
          <w:szCs w:val="24"/>
          <w:shd w:val="pct15" w:color="auto" w:fill="FFFFFF"/>
        </w:rPr>
        <w:t xml:space="preserve">cancer-causing genes in genomic regions that show recurrent copy-number alterations (gains and losses) in tumor genomes </w:t>
      </w:r>
      <w:r w:rsidR="009D37B0">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9D37B0">
        <w:rPr>
          <w:rFonts w:ascii="Georgia" w:hAnsi="Georgia"/>
          <w:sz w:val="24"/>
          <w:szCs w:val="24"/>
          <w:shd w:val="pct15" w:color="auto" w:fill="FFFFFF"/>
        </w:rPr>
        <w:fldChar w:fldCharType="separate"/>
      </w:r>
      <w:r w:rsidR="00D964E5">
        <w:rPr>
          <w:rFonts w:ascii="Georgia" w:hAnsi="Georgia"/>
          <w:sz w:val="24"/>
          <w:szCs w:val="24"/>
          <w:shd w:val="pct15" w:color="auto" w:fill="FFFFFF"/>
        </w:rPr>
        <w:t>(28)</w:t>
      </w:r>
      <w:r w:rsidR="009D37B0">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w:t>
      </w:r>
    </w:p>
    <w:p w:rsidR="001A0BCA" w:rsidRPr="00DC249D" w:rsidRDefault="001A0BCA" w:rsidP="001A0BCA">
      <w:pPr>
        <w:spacing w:before="120"/>
        <w:rPr>
          <w:rFonts w:ascii="Georgia" w:hAnsi="Georgia" w:cs="JansonText-Roman"/>
          <w:sz w:val="24"/>
          <w:szCs w:val="24"/>
          <w:shd w:val="pct15" w:color="auto" w:fill="FFFFFF"/>
        </w:rPr>
      </w:pPr>
      <w:r w:rsidRPr="00DC249D">
        <w:rPr>
          <w:rFonts w:ascii="Georgia" w:hAnsi="Georgia" w:cs="JansonText-Roman"/>
          <w:sz w:val="24"/>
          <w:szCs w:val="24"/>
          <w:shd w:val="pct15" w:color="auto" w:fill="FFFFFF"/>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9D37B0">
        <w:rPr>
          <w:rFonts w:ascii="Georgia" w:hAnsi="Georgia" w:cs="JansonText-Roman"/>
          <w:sz w:val="24"/>
          <w:szCs w:val="24"/>
          <w:shd w:val="pct15" w:color="auto" w:fill="FFFFFF"/>
        </w:rPr>
        <w:fldChar w:fldCharType="begin"/>
      </w:r>
      <w:r w:rsidR="00D964E5">
        <w:rPr>
          <w:rFonts w:ascii="Georgia" w:hAnsi="Georgia" w:cs="JansonText-Roman"/>
          <w:sz w:val="24"/>
          <w:szCs w:val="24"/>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9D37B0">
        <w:rPr>
          <w:rFonts w:ascii="Georgia" w:hAnsi="Georgia" w:cs="JansonText-Roman"/>
          <w:sz w:val="24"/>
          <w:szCs w:val="24"/>
          <w:shd w:val="pct15" w:color="auto" w:fill="FFFFFF"/>
        </w:rPr>
        <w:fldChar w:fldCharType="separate"/>
      </w:r>
      <w:r w:rsidR="00D964E5">
        <w:rPr>
          <w:rFonts w:ascii="Georgia" w:hAnsi="Georgia" w:cs="JansonText-Roman"/>
          <w:sz w:val="24"/>
          <w:szCs w:val="24"/>
          <w:shd w:val="pct15" w:color="auto" w:fill="FFFFFF"/>
        </w:rPr>
        <w:t>(7)</w:t>
      </w:r>
      <w:r w:rsidR="009D37B0">
        <w:rPr>
          <w:rFonts w:ascii="Georgia" w:hAnsi="Georgia" w:cs="JansonText-Roman"/>
          <w:sz w:val="24"/>
          <w:szCs w:val="24"/>
          <w:shd w:val="pct15" w:color="auto" w:fill="FFFFFF"/>
        </w:rPr>
        <w:fldChar w:fldCharType="end"/>
      </w:r>
      <w:r w:rsidRPr="00DC249D">
        <w:rPr>
          <w:rFonts w:ascii="Georgia" w:hAnsi="Georgia" w:cs="JansonText-Roman"/>
          <w:sz w:val="24"/>
          <w:szCs w:val="24"/>
          <w:shd w:val="pct15" w:color="auto" w:fill="FFFFFF"/>
        </w:rPr>
        <w:t xml:space="preserve">.  Chromatin immuno-precipitation (ChIP) is used to investigate </w:t>
      </w:r>
      <w:r w:rsidRPr="00DC249D">
        <w:rPr>
          <w:rFonts w:ascii="Georgia" w:hAnsi="Georgia" w:cs="JansonText-Roman"/>
          <w:color w:val="000000"/>
          <w:sz w:val="24"/>
          <w:szCs w:val="24"/>
          <w:shd w:val="pct15" w:color="auto" w:fill="FFFFFF"/>
        </w:rPr>
        <w:t>p</w:t>
      </w:r>
      <w:r w:rsidRPr="00DC249D">
        <w:rPr>
          <w:rFonts w:ascii="Georgia" w:hAnsi="Georgia" w:cs="JansonText-Bold"/>
          <w:bCs/>
          <w:color w:val="000000"/>
          <w:sz w:val="24"/>
          <w:szCs w:val="24"/>
          <w:shd w:val="pct15" w:color="auto" w:fill="FFFFFF"/>
        </w:rPr>
        <w:t xml:space="preserve">rotein-DNA interactions, which </w:t>
      </w:r>
      <w:r w:rsidRPr="00DC249D">
        <w:rPr>
          <w:rFonts w:ascii="Georgia" w:hAnsi="Georgia" w:cs="JansonText-Roman"/>
          <w:sz w:val="24"/>
          <w:szCs w:val="24"/>
          <w:shd w:val="pct15" w:color="auto" w:fill="FFFFFF"/>
        </w:rPr>
        <w:t xml:space="preserve">play a key part in regulating gene expression and controlling the availability of DNA for transcription and replication. In the technique, DNA chemically cross-linked to associated proteins is fragmented and transcription factor-specific antibodies are used to immunoprecipitate selected protein-DNA complexes. The DNA is then processed by NextGen sequencing (ChIP-Seq). </w:t>
      </w:r>
    </w:p>
    <w:p w:rsidR="00E4711B" w:rsidRPr="00DC249D" w:rsidRDefault="00E4711B" w:rsidP="00E4711B">
      <w:pPr>
        <w:spacing w:before="120"/>
        <w:rPr>
          <w:rFonts w:ascii="Georgia" w:hAnsi="Georgia"/>
          <w:sz w:val="24"/>
          <w:szCs w:val="24"/>
          <w:shd w:val="pct15" w:color="auto" w:fill="FFFFFF"/>
        </w:rPr>
      </w:pPr>
      <w:r w:rsidRPr="00DC249D">
        <w:rPr>
          <w:rFonts w:ascii="Georgia" w:hAnsi="Georgia"/>
          <w:sz w:val="24"/>
          <w:szCs w:val="24"/>
          <w:shd w:val="pct15" w:color="auto" w:fill="FFFFFF"/>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NextGen platforms has caused a recent explosion in metagenomic studies. The NIH Human Microbiome Project is one of several international efforts using metagenomic analysis to study human health and has developing the new technological and bioinformatics tools as one of its four stated goals (http://www.genome.gov/25521743). New bioinformatics tools for assembling metagenomics data (http://nihroadmap.nih.gov/hmp/fundedresearch.asp) are required to assembling and finding genes and genomic variation in heterogeneous metagenomic datasets, where currently available software performs poorly. </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9D37B0">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9D37B0">
        <w:rPr>
          <w:rFonts w:ascii="Georgia" w:hAnsi="Georgia" w:cs="Giovanni-Book"/>
          <w:sz w:val="24"/>
          <w:szCs w:val="24"/>
        </w:rPr>
        <w:fldChar w:fldCharType="separate"/>
      </w:r>
      <w:r w:rsidR="00D964E5">
        <w:rPr>
          <w:rFonts w:ascii="Georgia" w:hAnsi="Georgia" w:cs="Giovanni-Book"/>
          <w:sz w:val="24"/>
          <w:szCs w:val="24"/>
        </w:rPr>
        <w:t>(29)</w:t>
      </w:r>
      <w:r w:rsidR="009D37B0">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w:t>
      </w:r>
      <w:r w:rsidR="00E747D1">
        <w:rPr>
          <w:rFonts w:ascii="Georgia" w:hAnsi="Georgia"/>
          <w:sz w:val="24"/>
          <w:szCs w:val="24"/>
        </w:rPr>
        <w:lastRenderedPageBreak/>
        <w:t xml:space="preserve">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(30)</w:t>
      </w:r>
      <w:r w:rsidR="009D37B0">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9D37B0">
        <w:rPr>
          <w:rFonts w:ascii="Georgia" w:hAnsi="Georgia"/>
          <w:sz w:val="24"/>
          <w:szCs w:val="24"/>
        </w:rPr>
        <w:fldChar w:fldCharType="separate"/>
      </w:r>
      <w:r w:rsidR="00D964E5">
        <w:rPr>
          <w:rFonts w:ascii="Georgia" w:hAnsi="Georgia"/>
          <w:sz w:val="24"/>
          <w:szCs w:val="24"/>
        </w:rPr>
        <w:t>(31)</w:t>
      </w:r>
      <w:r w:rsidR="009D37B0">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9D37B0">
        <w:rPr>
          <w:rFonts w:ascii="Georgia" w:hAnsi="Georgia"/>
          <w:sz w:val="24"/>
          <w:szCs w:val="24"/>
        </w:rPr>
        <w:fldChar w:fldCharType="separate"/>
      </w:r>
      <w:r w:rsidR="00D964E5">
        <w:rPr>
          <w:rFonts w:ascii="Georgia" w:hAnsi="Georgia"/>
          <w:sz w:val="24"/>
          <w:szCs w:val="24"/>
        </w:rPr>
        <w:t>(32)</w:t>
      </w:r>
      <w:r w:rsidR="009D37B0">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9D37B0">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(33-35)</w:t>
      </w:r>
      <w:r w:rsidR="009D37B0">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9D37B0">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9D37B0">
        <w:rPr>
          <w:rFonts w:ascii="Georgia" w:hAnsi="Georgia" w:cs="Giovanni-Book"/>
          <w:sz w:val="24"/>
          <w:szCs w:val="24"/>
        </w:rPr>
        <w:fldChar w:fldCharType="separate"/>
      </w:r>
      <w:r w:rsidR="00D964E5">
        <w:rPr>
          <w:rFonts w:ascii="Georgia" w:hAnsi="Georgia" w:cs="Giovanni-Book"/>
          <w:sz w:val="24"/>
          <w:szCs w:val="24"/>
        </w:rPr>
        <w:t>(36)</w:t>
      </w:r>
      <w:r w:rsidR="009D37B0">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9D37B0">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(37, 38)</w:t>
      </w:r>
      <w:r w:rsidR="009D37B0">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(39)</w:t>
      </w:r>
      <w:r w:rsidR="009D37B0">
        <w:rPr>
          <w:rFonts w:ascii="Georgia" w:hAnsi="Georgia"/>
          <w:sz w:val="24"/>
          <w:szCs w:val="24"/>
        </w:rPr>
        <w:fldChar w:fldCharType="end"/>
      </w:r>
      <w:r w:rsidR="0093670F">
        <w:rPr>
          <w:rFonts w:ascii="Georgia" w:hAnsi="Georgia"/>
          <w:sz w:val="24"/>
          <w:szCs w:val="24"/>
        </w:rPr>
        <w:t xml:space="preserve"> and GBrowse </w:t>
      </w:r>
      <w:r w:rsidR="009D37B0">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(40, 41)</w:t>
      </w:r>
      <w:r w:rsidR="009D37B0">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9D37B0">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(42, 43)</w:t>
      </w:r>
      <w:r w:rsidR="009D37B0">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AD29F3" w:rsidP="003308E3">
      <w:pPr>
        <w:spacing w:before="120"/>
        <w:rPr>
          <w:rFonts w:ascii="Georgia" w:hAnsi="Georgia"/>
          <w:sz w:val="24"/>
          <w:szCs w:val="24"/>
        </w:rPr>
      </w:pPr>
      <w:r w:rsidRPr="009D37B0">
        <w:rPr>
          <w:szCs w:val="24"/>
        </w:rPr>
        <w:lastRenderedPageBreak/>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9D37B0">
        <w:rPr>
          <w:rFonts w:ascii="Georgia" w:hAnsi="Georgia"/>
          <w:sz w:val="24"/>
          <w:szCs w:val="24"/>
        </w:rPr>
        <w:fldChar w:fldCharType="separate"/>
      </w:r>
      <w:r w:rsidR="00D964E5">
        <w:rPr>
          <w:rFonts w:ascii="Georgia" w:hAnsi="Georgia"/>
          <w:sz w:val="24"/>
          <w:szCs w:val="24"/>
        </w:rPr>
        <w:t>(18)</w:t>
      </w:r>
      <w:r w:rsidR="009D37B0">
        <w:rPr>
          <w:rFonts w:ascii="Georgia" w:hAnsi="Georgia"/>
          <w:sz w:val="24"/>
          <w:szCs w:val="24"/>
        </w:rPr>
        <w:fldChar w:fldCharType="end"/>
      </w:r>
      <w:r w:rsidRPr="00BC6D51">
        <w:rPr>
          <w:rFonts w:ascii="Georgia" w:hAnsi="Georgia"/>
          <w:sz w:val="24"/>
          <w:szCs w:val="24"/>
        </w:rPr>
        <w:t xml:space="preserve">, Mira v2.9.25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9D37B0">
        <w:rPr>
          <w:rFonts w:ascii="Georgia" w:hAnsi="Georgia"/>
          <w:sz w:val="24"/>
          <w:szCs w:val="24"/>
        </w:rPr>
        <w:fldChar w:fldCharType="separate"/>
      </w:r>
      <w:r w:rsidR="00D964E5">
        <w:rPr>
          <w:rFonts w:ascii="Georgia" w:hAnsi="Georgia"/>
          <w:sz w:val="24"/>
          <w:szCs w:val="24"/>
        </w:rPr>
        <w:t>(11)</w:t>
      </w:r>
      <w:r w:rsidR="009D37B0">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9D37B0">
        <w:rPr>
          <w:rFonts w:ascii="Georgia" w:hAnsi="Georgia"/>
          <w:sz w:val="24"/>
          <w:szCs w:val="24"/>
        </w:rPr>
        <w:fldChar w:fldCharType="separate"/>
      </w:r>
      <w:r w:rsidR="00D964E5">
        <w:rPr>
          <w:rFonts w:ascii="Georgia" w:hAnsi="Georgia"/>
          <w:sz w:val="24"/>
          <w:szCs w:val="24"/>
        </w:rPr>
        <w:t>(12)</w:t>
      </w:r>
      <w:r w:rsidR="009D37B0">
        <w:rPr>
          <w:rFonts w:ascii="Georgia" w:hAnsi="Georgia"/>
          <w:sz w:val="24"/>
          <w:szCs w:val="24"/>
        </w:rPr>
        <w:fldChar w:fldCharType="end"/>
      </w:r>
      <w:r w:rsidRPr="009C6530">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9D37B0">
        <w:rPr>
          <w:rFonts w:ascii="Georgia" w:hAnsi="Georgia"/>
          <w:sz w:val="24"/>
          <w:szCs w:val="24"/>
        </w:rPr>
        <w:fldChar w:fldCharType="separate"/>
      </w:r>
      <w:r w:rsidR="00D964E5">
        <w:rPr>
          <w:rFonts w:ascii="Georgia" w:hAnsi="Georgia"/>
          <w:sz w:val="24"/>
          <w:szCs w:val="24"/>
        </w:rPr>
        <w:t>(13)</w:t>
      </w:r>
      <w:r w:rsidR="009D37B0">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9D37B0"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9D37B0"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9D37B0" w:rsidRPr="00C80E9B">
        <w:rPr>
          <w:rFonts w:ascii="Georgia" w:hAnsi="Georgia"/>
          <w:b/>
          <w:sz w:val="24"/>
          <w:szCs w:val="24"/>
        </w:rPr>
      </w:r>
      <w:r w:rsidR="009D37B0" w:rsidRPr="00C80E9B">
        <w:rPr>
          <w:rFonts w:ascii="Georgia" w:hAnsi="Georgia"/>
          <w:b/>
          <w:sz w:val="24"/>
          <w:szCs w:val="24"/>
        </w:rPr>
        <w:fldChar w:fldCharType="end"/>
      </w:r>
      <w:r w:rsidR="009D37B0" w:rsidRPr="00C80E9B">
        <w:rPr>
          <w:rFonts w:ascii="Georgia" w:hAnsi="Georgia"/>
          <w:b/>
          <w:sz w:val="24"/>
          <w:szCs w:val="24"/>
        </w:rPr>
      </w:r>
      <w:r w:rsidR="009D37B0" w:rsidRPr="00C80E9B">
        <w:rPr>
          <w:rFonts w:ascii="Georgia" w:hAnsi="Georgia"/>
          <w:b/>
          <w:sz w:val="24"/>
          <w:szCs w:val="24"/>
        </w:rPr>
        <w:fldChar w:fldCharType="separate"/>
      </w:r>
      <w:r w:rsidR="00C80E9B" w:rsidRPr="00C80E9B">
        <w:rPr>
          <w:rFonts w:ascii="Georgia" w:hAnsi="Georgia"/>
          <w:b/>
          <w:sz w:val="24"/>
          <w:szCs w:val="24"/>
        </w:rPr>
        <w:t>(21)</w:t>
      </w:r>
      <w:r w:rsidR="009D37B0"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genomic visualization of </w:t>
      </w:r>
      <w:r>
        <w:rPr>
          <w:rFonts w:ascii="Georgia" w:hAnsi="Georgia"/>
          <w:sz w:val="24"/>
          <w:szCs w:val="24"/>
        </w:rPr>
        <w:t xml:space="preserve">huge 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list of requirements 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CC0A1D">
      <w:pPr>
        <w:numPr>
          <w:ilvl w:val="0"/>
          <w:numId w:val="10"/>
        </w:numPr>
        <w:spacing w:before="120"/>
        <w:rPr>
          <w:rFonts w:ascii="Georgia" w:hAnsi="Georgia"/>
          <w:sz w:val="24"/>
          <w:szCs w:val="24"/>
        </w:rPr>
      </w:pPr>
      <w:r w:rsidRPr="00763960">
        <w:rPr>
          <w:rFonts w:ascii="Georgia" w:hAnsi="Georgia"/>
          <w:sz w:val="24"/>
          <w:szCs w:val="24"/>
        </w:rPr>
        <w:t xml:space="preserve">Low barriers to usage </w:t>
      </w:r>
    </w:p>
    <w:p w:rsidR="00B537BF" w:rsidRDefault="00B537BF" w:rsidP="00B537BF">
      <w:pPr>
        <w:numPr>
          <w:ilvl w:val="1"/>
          <w:numId w:val="10"/>
        </w:numPr>
        <w:spacing w:before="120"/>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B537BF" w:rsidP="00B537BF">
      <w:pPr>
        <w:numPr>
          <w:ilvl w:val="1"/>
          <w:numId w:val="10"/>
        </w:numPr>
        <w:spacing w:before="120"/>
        <w:rPr>
          <w:rFonts w:ascii="Georgia" w:hAnsi="Georgia"/>
          <w:sz w:val="24"/>
          <w:szCs w:val="24"/>
        </w:rPr>
      </w:pPr>
      <w:r>
        <w:rPr>
          <w:rFonts w:ascii="Georgia" w:hAnsi="Georgia"/>
          <w:sz w:val="24"/>
          <w:szCs w:val="24"/>
        </w:rPr>
        <w:t>I</w:t>
      </w:r>
      <w:r w:rsidR="002605D0">
        <w:rPr>
          <w:rFonts w:ascii="Georgia" w:hAnsi="Georgia"/>
          <w:sz w:val="24"/>
          <w:szCs w:val="24"/>
        </w:rPr>
        <w:t xml:space="preserve">ntuitive </w:t>
      </w:r>
      <w:r w:rsidR="00CC0A1D">
        <w:rPr>
          <w:rFonts w:ascii="Georgia" w:hAnsi="Georgia"/>
          <w:sz w:val="24"/>
          <w:szCs w:val="24"/>
        </w:rPr>
        <w:t>interface</w:t>
      </w:r>
    </w:p>
    <w:p w:rsidR="00660831" w:rsidRDefault="00660831" w:rsidP="00660831">
      <w:pPr>
        <w:numPr>
          <w:ilvl w:val="1"/>
          <w:numId w:val="10"/>
        </w:numPr>
        <w:spacing w:before="120"/>
        <w:rPr>
          <w:rFonts w:ascii="Georgia" w:hAnsi="Georgia"/>
          <w:sz w:val="24"/>
          <w:szCs w:val="24"/>
        </w:rPr>
      </w:pPr>
      <w:r w:rsidRPr="00660831">
        <w:rPr>
          <w:rFonts w:ascii="Georgia" w:hAnsi="Georgia"/>
          <w:sz w:val="24"/>
          <w:szCs w:val="24"/>
        </w:rPr>
        <w:t>Plug 'n play applications for rapid deployment</w:t>
      </w:r>
    </w:p>
    <w:p w:rsidR="00660831" w:rsidRPr="00660831" w:rsidRDefault="00660831" w:rsidP="00660831">
      <w:pPr>
        <w:numPr>
          <w:ilvl w:val="1"/>
          <w:numId w:val="10"/>
        </w:numPr>
        <w:spacing w:before="120"/>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763960">
      <w:pPr>
        <w:numPr>
          <w:ilvl w:val="0"/>
          <w:numId w:val="10"/>
        </w:numPr>
        <w:spacing w:before="120"/>
        <w:rPr>
          <w:rFonts w:ascii="Georgia" w:hAnsi="Georgia"/>
          <w:sz w:val="24"/>
          <w:szCs w:val="24"/>
        </w:rPr>
      </w:pPr>
      <w:r>
        <w:rPr>
          <w:rFonts w:ascii="Georgia" w:hAnsi="Georgia"/>
          <w:sz w:val="24"/>
          <w:szCs w:val="24"/>
        </w:rPr>
        <w:t>Workflows</w:t>
      </w:r>
    </w:p>
    <w:p w:rsidR="00763960" w:rsidRDefault="00763960" w:rsidP="00B6674B">
      <w:pPr>
        <w:numPr>
          <w:ilvl w:val="1"/>
          <w:numId w:val="10"/>
        </w:numPr>
        <w:spacing w:before="120"/>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B6674B">
      <w:pPr>
        <w:numPr>
          <w:ilvl w:val="1"/>
          <w:numId w:val="10"/>
        </w:numPr>
        <w:spacing w:before="120"/>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B6674B">
      <w:pPr>
        <w:numPr>
          <w:ilvl w:val="1"/>
          <w:numId w:val="10"/>
        </w:numPr>
        <w:spacing w:before="120"/>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B6674B">
      <w:pPr>
        <w:numPr>
          <w:ilvl w:val="1"/>
          <w:numId w:val="10"/>
        </w:numPr>
        <w:spacing w:before="120"/>
        <w:rPr>
          <w:rFonts w:ascii="Georgia" w:hAnsi="Georgia"/>
          <w:sz w:val="24"/>
          <w:szCs w:val="24"/>
        </w:rPr>
      </w:pPr>
      <w:r w:rsidRPr="00757F52">
        <w:rPr>
          <w:rFonts w:ascii="Georgia" w:hAnsi="Georgia"/>
          <w:sz w:val="24"/>
          <w:szCs w:val="24"/>
        </w:rPr>
        <w:t>Persistent data and workflow configurations</w:t>
      </w:r>
    </w:p>
    <w:p w:rsidR="00B537BF" w:rsidRDefault="00B537BF" w:rsidP="00B537BF">
      <w:pPr>
        <w:numPr>
          <w:ilvl w:val="1"/>
          <w:numId w:val="10"/>
        </w:numPr>
        <w:spacing w:before="120"/>
        <w:rPr>
          <w:rFonts w:ascii="Georgia" w:hAnsi="Georgia"/>
          <w:sz w:val="24"/>
          <w:szCs w:val="24"/>
        </w:rPr>
      </w:pPr>
      <w:r w:rsidRPr="00675165">
        <w:rPr>
          <w:rFonts w:ascii="Georgia" w:hAnsi="Georgia"/>
          <w:sz w:val="24"/>
          <w:szCs w:val="24"/>
        </w:rPr>
        <w:t>Loops, conditional branching</w:t>
      </w:r>
    </w:p>
    <w:p w:rsidR="00CC0A1D" w:rsidRDefault="006E3516" w:rsidP="00CC0A1D">
      <w:pPr>
        <w:numPr>
          <w:ilvl w:val="0"/>
          <w:numId w:val="10"/>
        </w:numPr>
        <w:spacing w:before="120"/>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CC0A1D">
      <w:pPr>
        <w:numPr>
          <w:ilvl w:val="0"/>
          <w:numId w:val="10"/>
        </w:numPr>
        <w:spacing w:before="120"/>
        <w:rPr>
          <w:rFonts w:ascii="Georgia" w:hAnsi="Georgia"/>
          <w:sz w:val="24"/>
          <w:szCs w:val="24"/>
        </w:rPr>
      </w:pPr>
      <w:r>
        <w:rPr>
          <w:rFonts w:ascii="Georgia" w:hAnsi="Georgia"/>
          <w:sz w:val="24"/>
          <w:szCs w:val="24"/>
        </w:rPr>
        <w:t>Views</w:t>
      </w:r>
    </w:p>
    <w:p w:rsidR="00285D96" w:rsidRDefault="00285D96" w:rsidP="00285D96">
      <w:pPr>
        <w:numPr>
          <w:ilvl w:val="1"/>
          <w:numId w:val="10"/>
        </w:numPr>
        <w:spacing w:before="120"/>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285D96">
      <w:pPr>
        <w:numPr>
          <w:ilvl w:val="1"/>
          <w:numId w:val="10"/>
        </w:numPr>
        <w:spacing w:before="120"/>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285D96">
      <w:pPr>
        <w:numPr>
          <w:ilvl w:val="1"/>
          <w:numId w:val="10"/>
        </w:numPr>
        <w:spacing w:before="120"/>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93322F">
      <w:pPr>
        <w:numPr>
          <w:ilvl w:val="1"/>
          <w:numId w:val="10"/>
        </w:numPr>
        <w:spacing w:before="120"/>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E20551">
      <w:pPr>
        <w:numPr>
          <w:ilvl w:val="1"/>
          <w:numId w:val="10"/>
        </w:numPr>
        <w:spacing w:before="120"/>
        <w:rPr>
          <w:rFonts w:ascii="Georgia" w:hAnsi="Georgia"/>
          <w:sz w:val="24"/>
          <w:szCs w:val="24"/>
        </w:rPr>
      </w:pPr>
      <w:r w:rsidRPr="00675165">
        <w:rPr>
          <w:rFonts w:ascii="Georgia" w:hAnsi="Georgia"/>
          <w:sz w:val="24"/>
          <w:szCs w:val="24"/>
        </w:rPr>
        <w:t>Fast view update</w:t>
      </w:r>
    </w:p>
    <w:p w:rsidR="00E20551" w:rsidRDefault="006E7903" w:rsidP="00E20551">
      <w:pPr>
        <w:numPr>
          <w:ilvl w:val="1"/>
          <w:numId w:val="10"/>
        </w:numPr>
        <w:spacing w:before="120"/>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B537BF">
      <w:pPr>
        <w:numPr>
          <w:ilvl w:val="1"/>
          <w:numId w:val="10"/>
        </w:numPr>
        <w:spacing w:before="120"/>
        <w:rPr>
          <w:rFonts w:ascii="Georgia" w:hAnsi="Georgia"/>
          <w:sz w:val="24"/>
          <w:szCs w:val="24"/>
        </w:rPr>
      </w:pPr>
      <w:r>
        <w:rPr>
          <w:rFonts w:ascii="Georgia" w:hAnsi="Georgia"/>
          <w:sz w:val="24"/>
          <w:szCs w:val="24"/>
        </w:rPr>
        <w:t>Genomic feature-level annotation by user</w:t>
      </w:r>
    </w:p>
    <w:p w:rsidR="00B6674B" w:rsidRDefault="00CC0A1D" w:rsidP="00CC0A1D">
      <w:pPr>
        <w:numPr>
          <w:ilvl w:val="0"/>
          <w:numId w:val="10"/>
        </w:numPr>
        <w:spacing w:before="120"/>
        <w:rPr>
          <w:rFonts w:ascii="Georgia" w:hAnsi="Georgia"/>
          <w:sz w:val="24"/>
          <w:szCs w:val="24"/>
        </w:rPr>
      </w:pPr>
      <w:r>
        <w:rPr>
          <w:rFonts w:ascii="Georgia" w:hAnsi="Georgia"/>
          <w:sz w:val="24"/>
          <w:szCs w:val="24"/>
        </w:rPr>
        <w:t>Sharing</w:t>
      </w:r>
    </w:p>
    <w:p w:rsidR="00CC0A1D" w:rsidRDefault="00CC0A1D" w:rsidP="00CC0A1D">
      <w:pPr>
        <w:numPr>
          <w:ilvl w:val="1"/>
          <w:numId w:val="10"/>
        </w:numPr>
        <w:spacing w:before="120"/>
        <w:rPr>
          <w:rFonts w:ascii="Georgia" w:hAnsi="Georgia"/>
          <w:sz w:val="24"/>
          <w:szCs w:val="24"/>
        </w:rPr>
      </w:pPr>
      <w:r>
        <w:rPr>
          <w:rFonts w:ascii="Georgia" w:hAnsi="Georgia"/>
          <w:sz w:val="24"/>
          <w:szCs w:val="24"/>
        </w:rPr>
        <w:t>User-defined groups with customizable permissions</w:t>
      </w:r>
    </w:p>
    <w:p w:rsidR="00CC0A1D" w:rsidRPr="00CC0A1D" w:rsidRDefault="00CC0A1D" w:rsidP="00CC0A1D">
      <w:pPr>
        <w:numPr>
          <w:ilvl w:val="1"/>
          <w:numId w:val="10"/>
        </w:numPr>
        <w:spacing w:before="120"/>
        <w:rPr>
          <w:rFonts w:ascii="Georgia" w:hAnsi="Georgia"/>
          <w:sz w:val="24"/>
          <w:szCs w:val="24"/>
        </w:rPr>
      </w:pPr>
      <w:r>
        <w:rPr>
          <w:rFonts w:ascii="Georgia" w:hAnsi="Georgia"/>
          <w:sz w:val="24"/>
          <w:szCs w:val="24"/>
        </w:rPr>
        <w:t>Workflow, report and view sharing among groups</w:t>
      </w:r>
    </w:p>
    <w:p w:rsidR="00D86BBE" w:rsidRDefault="00D86BBE" w:rsidP="00763960">
      <w:pPr>
        <w:numPr>
          <w:ilvl w:val="0"/>
          <w:numId w:val="10"/>
        </w:numPr>
        <w:spacing w:before="120"/>
        <w:rPr>
          <w:rFonts w:ascii="Georgia" w:hAnsi="Georgia"/>
          <w:sz w:val="24"/>
          <w:szCs w:val="24"/>
        </w:rPr>
      </w:pPr>
      <w:r>
        <w:rPr>
          <w:rFonts w:ascii="Georgia" w:hAnsi="Georgia"/>
          <w:sz w:val="24"/>
          <w:szCs w:val="24"/>
        </w:rPr>
        <w:t>Input/Output and execution</w:t>
      </w:r>
    </w:p>
    <w:p w:rsidR="00763960" w:rsidRDefault="00763960" w:rsidP="00D86BBE">
      <w:pPr>
        <w:numPr>
          <w:ilvl w:val="1"/>
          <w:numId w:val="10"/>
        </w:numPr>
        <w:spacing w:before="120"/>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D86BBE">
      <w:pPr>
        <w:numPr>
          <w:ilvl w:val="1"/>
          <w:numId w:val="10"/>
        </w:numPr>
        <w:spacing w:before="120"/>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D86BBE">
      <w:pPr>
        <w:numPr>
          <w:ilvl w:val="1"/>
          <w:numId w:val="10"/>
        </w:numPr>
        <w:spacing w:before="120"/>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Cluster execution</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Grid execution</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t>Maintain state (action history)</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lastRenderedPageBreak/>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9D37B0">
        <w:rPr>
          <w:rFonts w:ascii="Georgia" w:hAnsi="Georgia"/>
          <w:sz w:val="24"/>
          <w:szCs w:val="24"/>
        </w:rPr>
        <w:fldChar w:fldCharType="separate"/>
      </w:r>
      <w:r w:rsidR="00D964E5">
        <w:rPr>
          <w:rFonts w:ascii="Georgia" w:hAnsi="Georgia"/>
          <w:sz w:val="24"/>
          <w:szCs w:val="24"/>
        </w:rPr>
        <w:t>(44)</w:t>
      </w:r>
      <w:r w:rsidR="009D37B0">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9D37B0">
        <w:rPr>
          <w:rFonts w:ascii="Georgia" w:hAnsi="Georgia"/>
          <w:sz w:val="24"/>
          <w:szCs w:val="24"/>
        </w:rPr>
        <w:fldChar w:fldCharType="separate"/>
      </w:r>
      <w:r w:rsidR="00D964E5">
        <w:rPr>
          <w:rFonts w:ascii="Georgia" w:hAnsi="Georgia"/>
          <w:sz w:val="24"/>
          <w:szCs w:val="24"/>
        </w:rPr>
        <w:t>(45)</w:t>
      </w:r>
      <w:r w:rsidR="009D37B0">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9D37B0">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9D37B0">
        <w:rPr>
          <w:rFonts w:ascii="Georgia" w:hAnsi="Georgia"/>
          <w:b/>
          <w:sz w:val="24"/>
          <w:szCs w:val="24"/>
        </w:rPr>
        <w:fldChar w:fldCharType="separate"/>
      </w:r>
      <w:r w:rsidR="00D964E5">
        <w:rPr>
          <w:rFonts w:ascii="Georgia" w:hAnsi="Georgia"/>
          <w:b/>
          <w:sz w:val="24"/>
          <w:szCs w:val="24"/>
        </w:rPr>
        <w:t>(46)</w:t>
      </w:r>
      <w:r w:rsidR="009D37B0">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AD29F3" w:rsidP="003D0D84">
      <w:pPr>
        <w:autoSpaceDE w:val="0"/>
        <w:autoSpaceDN w:val="0"/>
        <w:adjustRightInd w:val="0"/>
        <w:jc w:val="center"/>
        <w:rPr>
          <w:rFonts w:ascii="Georgia" w:hAnsi="Georgia"/>
          <w:sz w:val="24"/>
          <w:szCs w:val="24"/>
        </w:rPr>
      </w:pPr>
      <w:r w:rsidRPr="009D37B0">
        <w:rPr>
          <w:rFonts w:ascii="Georgia" w:hAnsi="Georgia"/>
          <w:sz w:val="24"/>
          <w:szCs w:val="24"/>
        </w:rPr>
        <w:pict>
          <v:shape id="Picture 2" o:spid="_x0000_i1027"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application </w:t>
      </w:r>
      <w:r w:rsidRPr="00F06E57">
        <w:rPr>
          <w:rFonts w:ascii="Georgia" w:hAnsi="Georgia"/>
          <w:color w:val="000000" w:themeColor="text1"/>
          <w:sz w:val="24"/>
          <w:szCs w:val="24"/>
          <w:shd w:val="pct15" w:color="auto" w:fill="FFFFFF"/>
        </w:rPr>
        <w:t>(linked to iBIS?)</w:t>
      </w:r>
      <w:r w:rsidRPr="00E80068">
        <w:rPr>
          <w:rFonts w:ascii="Georgia" w:hAnsi="Georgia"/>
          <w:color w:val="000000" w:themeColor="text1"/>
          <w:sz w:val="24"/>
          <w:szCs w:val="24"/>
        </w:rPr>
        <w:t xml:space="preserve"> and a</w:t>
      </w:r>
      <w:r w:rsidR="00F06E57">
        <w:rPr>
          <w:rFonts w:ascii="Georgia" w:hAnsi="Georgia"/>
          <w:color w:val="000000" w:themeColor="text1"/>
          <w:sz w:val="24"/>
          <w:szCs w:val="24"/>
        </w:rPr>
        <w:t>n automatic</w:t>
      </w:r>
      <w:r w:rsidRPr="00E80068">
        <w:rPr>
          <w:rFonts w:ascii="Georgia" w:hAnsi="Georgia"/>
          <w:color w:val="000000" w:themeColor="text1"/>
          <w:sz w:val="24"/>
          <w:szCs w:val="24"/>
        </w:rPr>
        <w:t xml:space="preserve"> syntax checker </w:t>
      </w:r>
      <w:r w:rsidR="00F06E57">
        <w:rPr>
          <w:rFonts w:ascii="Georgia" w:hAnsi="Georgia"/>
          <w:color w:val="000000" w:themeColor="text1"/>
          <w:sz w:val="24"/>
          <w:szCs w:val="24"/>
        </w:rPr>
        <w:t>ensure</w:t>
      </w:r>
      <w:r w:rsidR="00485933">
        <w:rPr>
          <w:rFonts w:ascii="Georgia" w:hAnsi="Georgia"/>
          <w:color w:val="000000" w:themeColor="text1"/>
          <w:sz w:val="24"/>
          <w:szCs w:val="24"/>
        </w:rPr>
        <w:t>s</w:t>
      </w:r>
      <w:r w:rsidR="00F06E57">
        <w:rPr>
          <w:rFonts w:ascii="Georgia" w:hAnsi="Georgia"/>
          <w:color w:val="000000" w:themeColor="text1"/>
          <w:sz w:val="24"/>
          <w:szCs w:val="24"/>
        </w:rPr>
        <w:t xml:space="preserve"> </w:t>
      </w:r>
      <w:r w:rsidRPr="00E80068">
        <w:rPr>
          <w:rFonts w:ascii="Georgia" w:hAnsi="Georgia"/>
          <w:color w:val="000000" w:themeColor="text1"/>
          <w:sz w:val="24"/>
          <w:szCs w:val="24"/>
        </w:rPr>
        <w:t xml:space="preserve">that application inputs </w:t>
      </w:r>
      <w:r w:rsidR="00D5371B">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AD29F3" w:rsidP="00F12253">
      <w:pPr>
        <w:spacing w:before="120"/>
        <w:jc w:val="center"/>
        <w:rPr>
          <w:rFonts w:ascii="Georgia" w:hAnsi="Georgia"/>
          <w:sz w:val="24"/>
          <w:szCs w:val="24"/>
        </w:rPr>
      </w:pPr>
      <w:r w:rsidRPr="009D37B0">
        <w:rPr>
          <w:rFonts w:ascii="Georgia" w:hAnsi="Georgia"/>
          <w:sz w:val="24"/>
          <w:szCs w:val="24"/>
        </w:rPr>
        <w:lastRenderedPageBreak/>
        <w:pict>
          <v:shape id="Picture 1" o:spid="_x0000_i1028" type="#_x0000_t75" alt="workflow-opaque.png" style="width:468pt;height:297.75pt;visibility:visible;mso-wrap-style:square">
            <v:imagedata r:id="rId18"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AD29F3" w:rsidP="003D0D84">
      <w:pPr>
        <w:spacing w:before="120"/>
        <w:jc w:val="center"/>
        <w:rPr>
          <w:rFonts w:ascii="Georgia" w:hAnsi="Georgia"/>
          <w:sz w:val="24"/>
          <w:szCs w:val="24"/>
        </w:rPr>
      </w:pPr>
      <w:r w:rsidRPr="009D37B0">
        <w:rPr>
          <w:rFonts w:ascii="Georgia" w:hAnsi="Georgia"/>
          <w:sz w:val="24"/>
          <w:szCs w:val="24"/>
        </w:rPr>
        <w:pict>
          <v:shape id="Object 1" o:spid="_x0000_i1029"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19"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0"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9D37B0">
        <w:rPr>
          <w:rFonts w:ascii="Georgia" w:hAnsi="Georgia"/>
          <w:sz w:val="24"/>
          <w:szCs w:val="24"/>
        </w:rPr>
        <w:fldChar w:fldCharType="separate"/>
      </w:r>
      <w:r w:rsidR="00D964E5">
        <w:rPr>
          <w:rFonts w:ascii="Georgia" w:hAnsi="Georgia"/>
          <w:sz w:val="24"/>
          <w:szCs w:val="24"/>
        </w:rPr>
        <w:t>(47)</w:t>
      </w:r>
      <w:r w:rsidR="009D37B0">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9D37B0">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9D37B0">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9D37B0">
        <w:rPr>
          <w:rFonts w:ascii="Georgia" w:hAnsi="Georgia"/>
          <w:sz w:val="24"/>
          <w:szCs w:val="24"/>
        </w:rPr>
      </w:r>
      <w:r w:rsidR="009D37B0">
        <w:rPr>
          <w:rFonts w:ascii="Georgia" w:hAnsi="Georgia"/>
          <w:sz w:val="24"/>
          <w:szCs w:val="24"/>
        </w:rPr>
        <w:fldChar w:fldCharType="end"/>
      </w:r>
      <w:r w:rsidR="009D37B0">
        <w:rPr>
          <w:rFonts w:ascii="Georgia" w:hAnsi="Georgia"/>
          <w:sz w:val="24"/>
          <w:szCs w:val="24"/>
        </w:rPr>
      </w:r>
      <w:r w:rsidR="009D37B0">
        <w:rPr>
          <w:rFonts w:ascii="Georgia" w:hAnsi="Georgia"/>
          <w:sz w:val="24"/>
          <w:szCs w:val="24"/>
        </w:rPr>
        <w:fldChar w:fldCharType="separate"/>
      </w:r>
      <w:r w:rsidR="00D964E5">
        <w:rPr>
          <w:rFonts w:ascii="Georgia" w:hAnsi="Georgia"/>
          <w:sz w:val="24"/>
          <w:szCs w:val="24"/>
        </w:rPr>
        <w:t>(48)</w:t>
      </w:r>
      <w:r w:rsidR="009D37B0">
        <w:rPr>
          <w:rFonts w:ascii="Georgia" w:hAnsi="Georgia"/>
          <w:sz w:val="24"/>
          <w:szCs w:val="24"/>
        </w:rPr>
        <w:fldChar w:fldCharType="end"/>
      </w:r>
      <w:r w:rsidR="00A0328A" w:rsidRPr="00554FBC">
        <w:rPr>
          <w:rFonts w:ascii="Georgia" w:hAnsi="Georgia"/>
          <w:sz w:val="24"/>
          <w:szCs w:val="24"/>
        </w:rPr>
        <w:t xml:space="preserve"> and Pegasys </w:t>
      </w:r>
      <w:r w:rsidR="009D37B0">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9D37B0">
        <w:rPr>
          <w:rFonts w:ascii="Georgia" w:hAnsi="Georgia"/>
          <w:sz w:val="24"/>
          <w:szCs w:val="24"/>
        </w:rPr>
        <w:fldChar w:fldCharType="separate"/>
      </w:r>
      <w:r w:rsidR="00D964E5">
        <w:rPr>
          <w:rFonts w:ascii="Georgia" w:hAnsi="Georgia"/>
          <w:sz w:val="24"/>
          <w:szCs w:val="24"/>
        </w:rPr>
        <w:t>(47)</w:t>
      </w:r>
      <w:r w:rsidR="009D37B0">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2D5A21" w:rsidRDefault="00AC005F" w:rsidP="00AC005F">
      <w:pPr>
        <w:pStyle w:val="regulartext"/>
        <w:rPr>
          <w:rFonts w:ascii="Georgia" w:hAnsi="Georgia"/>
          <w:color w:val="548DD4" w:themeColor="text2" w:themeTint="99"/>
        </w:rPr>
      </w:pP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E0312E" w:rsidRP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9D37B0"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9D37B0" w:rsidRPr="002D5A21">
        <w:rPr>
          <w:rFonts w:ascii="Georgia" w:hAnsi="Georgia"/>
          <w:sz w:val="24"/>
          <w:szCs w:val="24"/>
        </w:rPr>
        <w:fldChar w:fldCharType="separate"/>
      </w:r>
      <w:r w:rsidR="00D964E5" w:rsidRPr="002D5A21">
        <w:rPr>
          <w:rFonts w:ascii="Georgia" w:hAnsi="Georgia"/>
          <w:sz w:val="24"/>
          <w:szCs w:val="24"/>
        </w:rPr>
        <w:t>(49)</w:t>
      </w:r>
      <w:r w:rsidR="009D37B0"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Pr="002D5A21">
        <w:rPr>
          <w:rFonts w:ascii="Georgia" w:hAnsi="Georgia"/>
          <w:sz w:val="24"/>
          <w:szCs w:val="24"/>
        </w:rPr>
        <w:t xml:space="preserve"> </w:t>
      </w:r>
    </w:p>
    <w:p w:rsidR="002D5A21" w:rsidRDefault="002D5A21" w:rsidP="00E0312E">
      <w:pPr>
        <w:spacing w:before="120"/>
        <w:rPr>
          <w:rFonts w:ascii="Georgia" w:hAnsi="Georgia"/>
          <w:sz w:val="24"/>
          <w:szCs w:val="24"/>
        </w:rPr>
      </w:pPr>
      <w:r w:rsidRPr="002D5A21">
        <w:rPr>
          <w:rFonts w:ascii="Georgia" w:hAnsi="Georgia"/>
          <w:sz w:val="24"/>
          <w:szCs w:val="24"/>
        </w:rPr>
        <w:t>Aqwa alpha version will shortly be available for testing, incorporating all of the planned functionality for the gamma release. In the next phase, extensive user testing will be carried out and the results of the tests will be used to inform any additions to the requirements</w:t>
      </w:r>
      <w:r>
        <w:rPr>
          <w:rFonts w:ascii="Georgia" w:hAnsi="Georgia"/>
          <w:sz w:val="24"/>
          <w:szCs w:val="24"/>
        </w:rPr>
        <w:t>.</w:t>
      </w:r>
    </w:p>
    <w:p w:rsidR="002D5A21" w:rsidRDefault="002D5A21" w:rsidP="00E0312E">
      <w:pPr>
        <w:spacing w:before="120"/>
        <w:rPr>
          <w:rFonts w:ascii="Georgia" w:hAnsi="Georgia"/>
          <w:sz w:val="24"/>
          <w:szCs w:val="24"/>
        </w:rPr>
      </w:pPr>
    </w:p>
    <w:p w:rsidR="00ED2EB1" w:rsidRDefault="00AD29F3" w:rsidP="00ED2EB1">
      <w:r w:rsidRPr="00AD29F3">
        <w:rPr>
          <w:szCs w:val="24"/>
        </w:rPr>
        <w:lastRenderedPageBreak/>
        <w:pict>
          <v:shape id="_x0000_i1031" type="#_x0000_t75" style="width:540pt;height:305.25pt">
            <v:imagedata r:id="rId21" o:title=""/>
          </v:shape>
        </w:pict>
      </w:r>
    </w:p>
    <w:p w:rsidR="00ED2EB1" w:rsidRDefault="009D37B0" w:rsidP="00ED2EB1">
      <w:hyperlink r:id="rId22" w:tooltip="Enlarge" w:history="1">
        <w:r w:rsidR="00AD29F3" w:rsidRPr="009D37B0">
          <w:rPr>
            <w:color w:val="0000FF"/>
          </w:rPr>
          <w:pict>
            <v:shape id="_x0000_i1030" type="#_x0000_t75" alt="" href="http://en.wikipedia.org/wiki/File:Development-iterative.gif" title="&quot;Enlarge&quot;" style="width:11.25pt;height:8.25pt" o:button="t">
              <v:imagedata r:id="rId23" r:href="rId24"/>
            </v:shape>
          </w:pict>
        </w:r>
      </w:hyperlink>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5"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6"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7"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8"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9D37B0" w:rsidP="00D964E5">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D964E5" w:rsidRPr="00D964E5">
        <w:t>1.</w:t>
      </w:r>
      <w:r w:rsidR="00D964E5" w:rsidRPr="00D964E5">
        <w:tab/>
        <w:t xml:space="preserve">NHGRI. NHGRI Seeks DNA Sequencing Technologies Fit for Routine Laboratory and Medical Use. 2008 [updated 2008; cited]; Available from: </w:t>
      </w:r>
      <w:hyperlink r:id="rId29" w:history="1">
        <w:r w:rsidR="00D964E5" w:rsidRPr="00D964E5">
          <w:rPr>
            <w:rStyle w:val="Hyperlink"/>
          </w:rPr>
          <w:t>http://www.genome.gov/27527585</w:t>
        </w:r>
      </w:hyperlink>
      <w:r w:rsidR="00D964E5"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30"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9D37B0"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FC7" w:rsidRDefault="00B05FC7" w:rsidP="00081495">
      <w:r>
        <w:separator/>
      </w:r>
    </w:p>
  </w:endnote>
  <w:endnote w:type="continuationSeparator" w:id="1">
    <w:p w:rsidR="00B05FC7" w:rsidRDefault="00B05FC7"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FC7" w:rsidRDefault="00B05FC7" w:rsidP="00081495">
      <w:r>
        <w:separator/>
      </w:r>
    </w:p>
  </w:footnote>
  <w:footnote w:type="continuationSeparator" w:id="1">
    <w:p w:rsidR="00B05FC7" w:rsidRDefault="00B05FC7"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95784"/>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5FC7"/>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4AAB"/>
    <w:rsid w:val="00CF6452"/>
    <w:rsid w:val="00D010A2"/>
    <w:rsid w:val="00D04052"/>
    <w:rsid w:val="00D07130"/>
    <w:rsid w:val="00D11009"/>
    <w:rsid w:val="00D1360B"/>
    <w:rsid w:val="00D1491E"/>
    <w:rsid w:val="00D211B4"/>
    <w:rsid w:val="00D233BC"/>
    <w:rsid w:val="00D25E56"/>
    <w:rsid w:val="00D27380"/>
    <w:rsid w:val="00D340A2"/>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293B"/>
    <w:rsid w:val="00F43044"/>
    <w:rsid w:val="00F44CB0"/>
    <w:rsid w:val="00F46E26"/>
    <w:rsid w:val="00F47620"/>
    <w:rsid w:val="00F5004E"/>
    <w:rsid w:val="00F50665"/>
    <w:rsid w:val="00F51EF5"/>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5A5D"/>
    <w:rsid w:val="00FD6641"/>
    <w:rsid w:val="00FD694C"/>
    <w:rsid w:val="00FD6C5B"/>
    <w:rsid w:val="00FE2DAA"/>
    <w:rsid w:val="00FE7F71"/>
    <w:rsid w:val="00FF0165"/>
    <w:rsid w:val="00FF238C"/>
    <w:rsid w:val="00FF2D6D"/>
    <w:rsid w:val="00FF30C3"/>
    <w:rsid w:val="00FF441F"/>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image" Target="media/image4.png"/><Relationship Id="rId26" Type="http://schemas.openxmlformats.org/officeDocument/2006/relationships/hyperlink" Target="http://grants.nih.gov/grants/guide/notice-files/not98-024.html"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mailto:brooksl@mail.nih.gov"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hyperlink" Target="http://www.dojotoolkit.org" TargetMode="External"/><Relationship Id="rId29" Type="http://schemas.openxmlformats.org/officeDocument/2006/relationships/hyperlink" Target="http://www.genome.gov/27527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image" Target="http://en.wikipedia.org/skins-1.5/common/images/magnify-clip.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image" Target="media/image7.png"/><Relationship Id="rId28" Type="http://schemas.openxmlformats.org/officeDocument/2006/relationships/hyperlink" Target="http://era.nih.gov/ElectronicReceipt/pdf_guidelines.htm" TargetMode="External"/><Relationship Id="rId10" Type="http://schemas.openxmlformats.org/officeDocument/2006/relationships/hyperlink" Target="http://www.nanoporetech.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hyperlink" Target="http://en.wikipedia.org/wiki/File:Development-iterative.gif" TargetMode="External"/><Relationship Id="rId27" Type="http://schemas.openxmlformats.org/officeDocument/2006/relationships/hyperlink" Target="http://grants.nih.gov/grants/funding/424/SF424_RR_Guide_General_Adobe_VerA.doc" TargetMode="External"/><Relationship Id="rId30" Type="http://schemas.openxmlformats.org/officeDocument/2006/relationships/hyperlink" Target="http://maq.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16026</Words>
  <Characters>91352</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107164</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2009-04-18T15:01:00Z</dcterms:created>
  <dcterms:modified xsi:type="dcterms:W3CDTF">2009-04-18T18:33:00Z</dcterms:modified>
</cp:coreProperties>
</file>