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CE7533">
        <w:rPr>
          <w:rFonts w:ascii="Georgia" w:hAnsi="Georgia"/>
          <w:sz w:val="24"/>
          <w:szCs w:val="24"/>
        </w:rPr>
        <w:fldChar w:fldCharType="separate"/>
      </w:r>
      <w:r w:rsidR="00D964E5">
        <w:rPr>
          <w:rFonts w:ascii="Georgia" w:hAnsi="Georgia"/>
          <w:sz w:val="24"/>
          <w:szCs w:val="24"/>
        </w:rPr>
        <w:t>(1)</w:t>
      </w:r>
      <w:r w:rsidR="00CE7533">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E7533">
        <w:rPr>
          <w:rFonts w:ascii="Georgia" w:hAnsi="Georgia"/>
          <w:sz w:val="24"/>
          <w:szCs w:val="24"/>
        </w:rPr>
        <w:fldChar w:fldCharType="separate"/>
      </w:r>
      <w:r w:rsidR="00D964E5">
        <w:rPr>
          <w:rFonts w:ascii="Georgia" w:hAnsi="Georgia"/>
          <w:sz w:val="24"/>
          <w:szCs w:val="24"/>
        </w:rPr>
        <w:t>(2)</w:t>
      </w:r>
      <w:r w:rsidR="00CE7533">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E7533">
        <w:rPr>
          <w:rFonts w:ascii="Georgia" w:hAnsi="Georgia"/>
          <w:sz w:val="24"/>
          <w:szCs w:val="24"/>
        </w:rPr>
        <w:fldChar w:fldCharType="separate"/>
      </w:r>
      <w:r w:rsidR="00D964E5">
        <w:rPr>
          <w:rFonts w:ascii="Georgia" w:hAnsi="Georgia"/>
          <w:sz w:val="24"/>
          <w:szCs w:val="24"/>
        </w:rPr>
        <w:t>(2, 3)</w:t>
      </w:r>
      <w:r w:rsidR="00CE7533">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CE7533">
        <w:rPr>
          <w:rFonts w:ascii="Georgia" w:hAnsi="Georgia"/>
          <w:sz w:val="24"/>
          <w:szCs w:val="24"/>
        </w:rPr>
        <w:fldChar w:fldCharType="separate"/>
      </w:r>
      <w:r w:rsidR="00D964E5">
        <w:rPr>
          <w:rFonts w:ascii="Georgia" w:hAnsi="Georgia"/>
          <w:sz w:val="24"/>
          <w:szCs w:val="24"/>
        </w:rPr>
        <w:t>(4)</w:t>
      </w:r>
      <w:r w:rsidR="00CE7533">
        <w:rPr>
          <w:rFonts w:ascii="Georgia" w:hAnsi="Georgia"/>
          <w:sz w:val="24"/>
          <w:szCs w:val="24"/>
        </w:rPr>
        <w:fldChar w:fldCharType="end"/>
      </w:r>
      <w:r w:rsidR="00D1491E" w:rsidRPr="009C6530">
        <w:rPr>
          <w:rFonts w:ascii="Georgia" w:hAnsi="Georgia"/>
          <w:sz w:val="24"/>
          <w:szCs w:val="24"/>
        </w:rPr>
        <w:t xml:space="preserve">, Roche/454 </w:t>
      </w:r>
      <w:r w:rsidR="00CE7533">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D964E5">
        <w:rPr>
          <w:rFonts w:ascii="Georgia" w:hAnsi="Georgia"/>
          <w:sz w:val="24"/>
          <w:szCs w:val="24"/>
        </w:rPr>
        <w:t>(5)</w:t>
      </w:r>
      <w:r w:rsidR="00CE7533">
        <w:rPr>
          <w:rFonts w:ascii="Georgia" w:hAnsi="Georgia"/>
          <w:sz w:val="24"/>
          <w:szCs w:val="24"/>
        </w:rPr>
        <w:fldChar w:fldCharType="end"/>
      </w:r>
      <w:r w:rsidR="00D1491E" w:rsidRPr="009C6530">
        <w:rPr>
          <w:rFonts w:ascii="Georgia" w:hAnsi="Georgia"/>
          <w:sz w:val="24"/>
          <w:szCs w:val="24"/>
        </w:rPr>
        <w:t xml:space="preserve"> and ABI/SOLiD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CE7533">
        <w:rPr>
          <w:rFonts w:ascii="Georgia" w:hAnsi="Georgia"/>
          <w:sz w:val="24"/>
          <w:szCs w:val="24"/>
        </w:rPr>
        <w:fldChar w:fldCharType="separate"/>
      </w:r>
      <w:r w:rsidR="00D964E5">
        <w:rPr>
          <w:rFonts w:ascii="Georgia" w:hAnsi="Georgia"/>
          <w:sz w:val="24"/>
          <w:szCs w:val="24"/>
        </w:rPr>
        <w:t>(6)</w:t>
      </w:r>
      <w:r w:rsidR="00CE7533">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w:t>
      </w:r>
      <w:r w:rsidR="00450C20">
        <w:rPr>
          <w:rFonts w:ascii="Georgia" w:hAnsi="Georgia"/>
          <w:b/>
          <w:sz w:val="24"/>
          <w:szCs w:val="24"/>
        </w:rPr>
        <w:t xml:space="preserve">all </w:t>
      </w:r>
      <w:r w:rsidR="00463AB6" w:rsidRPr="006478EF">
        <w:rPr>
          <w:rFonts w:ascii="Georgia" w:hAnsi="Georgia"/>
          <w:b/>
          <w:sz w:val="24"/>
          <w:szCs w:val="24"/>
        </w:rPr>
        <w:t xml:space="preserve">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w:t>
      </w:r>
      <w:r w:rsidR="00FF1AA1">
        <w:rPr>
          <w:rFonts w:ascii="Georgia" w:hAnsi="Georgia"/>
          <w:b/>
        </w:rPr>
        <w:t xml:space="preserve"> challenges </w:t>
      </w:r>
      <w:r w:rsidRPr="006A5584">
        <w:rPr>
          <w:rFonts w:ascii="Georgia" w:hAnsi="Georgia"/>
          <w:b/>
        </w:rPr>
        <w:t>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 xml:space="preserve">in a </w:t>
      </w:r>
      <w:r w:rsidR="00450C20">
        <w:rPr>
          <w:rFonts w:ascii="Georgia" w:hAnsi="Georgia"/>
          <w:b/>
        </w:rPr>
        <w:t>“plug ‘n play”</w:t>
      </w:r>
      <w:r w:rsidR="006A5584">
        <w:rPr>
          <w:rFonts w:ascii="Georgia" w:hAnsi="Georgia"/>
          <w:b/>
        </w:rPr>
        <w:t xml:space="preserve"> </w:t>
      </w:r>
      <w:r w:rsidR="006A179A">
        <w:rPr>
          <w:rFonts w:ascii="Georgia" w:hAnsi="Georgia"/>
          <w:b/>
        </w:rPr>
        <w:t xml:space="preserve">and scalable </w:t>
      </w:r>
      <w:r w:rsidR="006A5584">
        <w:rPr>
          <w:rFonts w:ascii="Georgia" w:hAnsi="Georgia"/>
          <w:b/>
        </w:rPr>
        <w:t>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1F7BDF" w:rsidP="003308E3">
      <w:pPr>
        <w:pStyle w:val="NormalWeb"/>
        <w:spacing w:before="120" w:beforeAutospacing="0"/>
        <w:rPr>
          <w:rFonts w:ascii="Georgia" w:hAnsi="Georgia"/>
        </w:rPr>
      </w:pPr>
      <w:r w:rsidRPr="00CE7533">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r w:rsidR="001419E0">
        <w:rPr>
          <w:rFonts w:ascii="Georgia" w:hAnsi="Georgia"/>
          <w:b/>
          <w:sz w:val="24"/>
          <w:szCs w:val="24"/>
        </w:rPr>
        <w:tab/>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E7533">
        <w:rPr>
          <w:rFonts w:ascii="Georgia" w:hAnsi="Georgia"/>
          <w:sz w:val="24"/>
          <w:szCs w:val="24"/>
        </w:rPr>
        <w:fldChar w:fldCharType="separate"/>
      </w:r>
      <w:r w:rsidR="00E75349">
        <w:rPr>
          <w:rFonts w:ascii="Georgia" w:hAnsi="Georgia"/>
          <w:sz w:val="24"/>
          <w:szCs w:val="24"/>
        </w:rPr>
        <w:t>(7)</w:t>
      </w:r>
      <w:r w:rsidR="00CE7533">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E7533">
        <w:rPr>
          <w:rFonts w:ascii="Georgia" w:hAnsi="Georgia"/>
          <w:sz w:val="24"/>
          <w:szCs w:val="24"/>
        </w:rPr>
        <w:fldChar w:fldCharType="separate"/>
      </w:r>
      <w:r w:rsidR="00E75349">
        <w:rPr>
          <w:rFonts w:ascii="Georgia" w:hAnsi="Georgia"/>
          <w:sz w:val="24"/>
          <w:szCs w:val="24"/>
        </w:rPr>
        <w:t>(8)</w:t>
      </w:r>
      <w:r w:rsidR="00CE7533">
        <w:rPr>
          <w:rFonts w:ascii="Georgia" w:hAnsi="Georgia"/>
          <w:sz w:val="24"/>
          <w:szCs w:val="24"/>
        </w:rPr>
        <w:fldChar w:fldCharType="end"/>
      </w:r>
      <w:r w:rsidR="00F72B00"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(9)</w:t>
      </w:r>
      <w:r w:rsidR="00CE7533">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(10)</w:t>
      </w:r>
      <w:r w:rsidR="00CE7533">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(11)</w:t>
      </w:r>
      <w:r w:rsidR="00CE7533">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(12)</w:t>
      </w:r>
      <w:r w:rsidR="00CE7533">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(13)</w:t>
      </w:r>
      <w:r w:rsidR="00CE7533">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E7533">
        <w:rPr>
          <w:rFonts w:ascii="Georgia" w:hAnsi="Georgia"/>
          <w:sz w:val="24"/>
          <w:szCs w:val="24"/>
        </w:rPr>
        <w:fldChar w:fldCharType="separate"/>
      </w:r>
      <w:r w:rsidR="00E75349">
        <w:rPr>
          <w:rFonts w:ascii="Georgia" w:hAnsi="Georgia"/>
          <w:sz w:val="24"/>
          <w:szCs w:val="24"/>
        </w:rPr>
        <w:t>(14)</w:t>
      </w:r>
      <w:r w:rsidR="00CE7533">
        <w:rPr>
          <w:rFonts w:ascii="Georgia" w:hAnsi="Georgia"/>
          <w:sz w:val="24"/>
          <w:szCs w:val="24"/>
        </w:rPr>
        <w:fldChar w:fldCharType="end"/>
      </w:r>
      <w:r w:rsidR="002B389F" w:rsidRPr="009C6530">
        <w:rPr>
          <w:rFonts w:ascii="Georgia" w:hAnsi="Georgia"/>
          <w:sz w:val="24"/>
          <w:szCs w:val="24"/>
        </w:rPr>
        <w:t xml:space="preserve">, and </w:t>
      </w:r>
      <w:r w:rsidR="002B389F" w:rsidRPr="009C6530">
        <w:rPr>
          <w:rFonts w:ascii="Georgia" w:hAnsi="Georgia"/>
          <w:sz w:val="24"/>
          <w:szCs w:val="24"/>
        </w:rPr>
        <w:lastRenderedPageBreak/>
        <w:t>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551C2E" w:rsidRDefault="00551C2E" w:rsidP="00551C2E">
      <w:pPr>
        <w:pStyle w:val="Heading3"/>
      </w:pPr>
      <w:hyperlink r:id="rId14" w:history="1">
        <w:r w:rsidRPr="0066541F">
          <w:rPr>
            <w:rStyle w:val="Hyperlink"/>
          </w:rPr>
          <w:t>http://www.sciencedirect.com/science?_ob=ArticleURL&amp;_udi=B6WG1-4T91MW8-1&amp;_user=1766625&amp;_rdoc=1&amp;_fmt=&amp;_orig=search&amp;_sort=d&amp;view=c&amp;_version=1&amp;_urlVersion=0&amp;_userid=1766625&amp;md5=a6c5391521d118bfa609d7dbcfc83d33</w:t>
        </w:r>
      </w:hyperlink>
    </w:p>
    <w:p w:rsidR="00551C2E" w:rsidRDefault="00551C2E" w:rsidP="00551C2E">
      <w:pPr>
        <w:pStyle w:val="Heading3"/>
      </w:pPr>
      <w:r>
        <w:t>Morozova 2008</w:t>
      </w:r>
    </w:p>
    <w:p w:rsidR="00551C2E" w:rsidRDefault="00551C2E" w:rsidP="00551C2E">
      <w:pPr>
        <w:pStyle w:val="Heading3"/>
      </w:pPr>
      <w:r>
        <w:t>Transcriptome sequencing by next-generation technologies</w:t>
      </w:r>
    </w:p>
    <w:p w:rsidR="00551C2E" w:rsidRDefault="00551C2E" w:rsidP="00551C2E">
      <w:pPr>
        <w:pStyle w:val="NormalWeb"/>
      </w:pPr>
      <w:r>
        <w:t xml:space="preserve">The sequencing of cDNA rather than genomic DNA focuses analysis on the transcribed portion of the genome. This focus reduces the size of the sequencing target space, which can be viewed as desirable given the fact that, even with next-generation sequencers, sequencing an entire vertebrate genome is still an expensive undertaking. Transcriptome sequencing has been used for applications ranging from gene expression profiling, genome annotation, and rearrangement detection to noncoding RNA discovery and quantification. A unique feature of high-throughput transcriptome sequencing studies is the versatility of the data, which can simultaneously be analyzed to provide insight into the level of gene expression, the structure of genomic loci, and sequence variation present at loci (e.g., SNPs). To date, the 454 technology has dominated next-generation applications in transcriptomics; but at least one recent paper describes the use of the Illumina sequencer for profiling microRNAs </w:t>
      </w:r>
      <w:bookmarkStart w:id="0" w:name="bbib30"/>
      <w:bookmarkEnd w:id="0"/>
      <w:r>
        <w:fldChar w:fldCharType="begin"/>
      </w:r>
      <w:r>
        <w:instrText xml:space="preserve"> HYPERLINK "http://www.sciencedirect.com/science?_ob=ArticleURL&amp;_udi=B6WG1-4T91MW8-1&amp;_user=687830&amp;_coverDate=11%2F30%2F2008&amp;_rdoc=1&amp;_fmt=full&amp;_orig=search&amp;_cdi=6809&amp;_sort=d&amp;_docanchor=&amp;view=c&amp;_acct=C000038359&amp;_version=1&amp;_urlVersion=0&amp;_userid=687830&amp;md5=e39b2cdebd585a0aafd366d512f0ddc7" \l "bib30" </w:instrText>
      </w:r>
      <w:r>
        <w:fldChar w:fldCharType="separate"/>
      </w:r>
      <w:r>
        <w:rPr>
          <w:rStyle w:val="Hyperlink"/>
        </w:rPr>
        <w:t>[30]</w:t>
      </w:r>
      <w:r>
        <w:fldChar w:fldCharType="end"/>
      </w:r>
      <w:r>
        <w:t>.</w:t>
      </w:r>
    </w:p>
    <w:p w:rsidR="00551C2E" w:rsidRDefault="00551C2E" w:rsidP="006B5C4A">
      <w:pPr>
        <w:spacing w:before="120"/>
        <w:rPr>
          <w:rFonts w:ascii="Georgia" w:hAnsi="Georgia" w:cs="Arial"/>
          <w:sz w:val="24"/>
          <w:szCs w:val="24"/>
        </w:rPr>
      </w:pP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CE7533">
        <w:rPr>
          <w:rFonts w:ascii="Georgia" w:hAnsi="Georgia" w:cs="Arial"/>
          <w:sz w:val="24"/>
          <w:szCs w:val="24"/>
        </w:rPr>
        <w:fldChar w:fldCharType="begin"/>
      </w:r>
      <w:r w:rsidR="00E75349">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CE7533">
        <w:rPr>
          <w:rFonts w:ascii="Georgia" w:hAnsi="Georgia" w:cs="Arial"/>
          <w:sz w:val="24"/>
          <w:szCs w:val="24"/>
        </w:rPr>
        <w:fldChar w:fldCharType="separate"/>
      </w:r>
      <w:r w:rsidR="00E75349">
        <w:rPr>
          <w:rFonts w:ascii="Georgia" w:hAnsi="Georgia" w:cs="Arial"/>
          <w:sz w:val="24"/>
          <w:szCs w:val="24"/>
        </w:rPr>
        <w:t>(15)</w:t>
      </w:r>
      <w:r w:rsidR="00CE7533">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CE7533">
        <w:rPr>
          <w:rFonts w:ascii="Georgia" w:hAnsi="Georgia"/>
          <w:sz w:val="24"/>
          <w:szCs w:val="24"/>
        </w:rPr>
        <w:fldChar w:fldCharType="separate"/>
      </w:r>
      <w:r w:rsidR="00E75349">
        <w:rPr>
          <w:rFonts w:ascii="Georgia" w:hAnsi="Georgia"/>
          <w:sz w:val="24"/>
          <w:szCs w:val="24"/>
        </w:rPr>
        <w:t>(16)</w:t>
      </w:r>
      <w:r w:rsidR="00CE7533">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w:t>
      </w:r>
      <w:r w:rsidRPr="006F0223">
        <w:rPr>
          <w:rFonts w:ascii="Georgia" w:hAnsi="Georgia" w:cs="Arial"/>
          <w:b/>
          <w:sz w:val="24"/>
          <w:szCs w:val="24"/>
        </w:rPr>
        <w:lastRenderedPageBreak/>
        <w:t xml:space="preserve">muscle were mapped by NextGen deep sequencing </w:t>
      </w:r>
      <w:r w:rsidR="00CE7533">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75349">
        <w:rPr>
          <w:rFonts w:ascii="Georgia" w:hAnsi="Georgia"/>
          <w:b/>
          <w:sz w:val="24"/>
          <w:szCs w:val="24"/>
        </w:rPr>
        <w:instrText xml:space="preserve"> ADDIN EN.CITE </w:instrText>
      </w:r>
      <w:r w:rsidR="00E75349">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75349">
        <w:rPr>
          <w:rFonts w:ascii="Georgia" w:hAnsi="Georgia"/>
          <w:b/>
          <w:sz w:val="24"/>
          <w:szCs w:val="24"/>
        </w:rPr>
        <w:instrText xml:space="preserve"> ADDIN EN.CITE.DATA </w:instrText>
      </w:r>
      <w:r w:rsidR="00E75349">
        <w:rPr>
          <w:rFonts w:ascii="Georgia" w:hAnsi="Georgia"/>
          <w:b/>
          <w:sz w:val="24"/>
          <w:szCs w:val="24"/>
        </w:rPr>
      </w:r>
      <w:r w:rsidR="00E75349">
        <w:rPr>
          <w:rFonts w:ascii="Georgia" w:hAnsi="Georgia"/>
          <w:b/>
          <w:sz w:val="24"/>
          <w:szCs w:val="24"/>
        </w:rPr>
        <w:fldChar w:fldCharType="end"/>
      </w:r>
      <w:r w:rsidR="00CE7533">
        <w:rPr>
          <w:rFonts w:ascii="Georgia" w:hAnsi="Georgia"/>
          <w:b/>
          <w:sz w:val="24"/>
          <w:szCs w:val="24"/>
        </w:rPr>
        <w:fldChar w:fldCharType="separate"/>
      </w:r>
      <w:r w:rsidR="00E75349">
        <w:rPr>
          <w:rFonts w:ascii="Georgia" w:hAnsi="Georgia"/>
          <w:b/>
          <w:sz w:val="24"/>
          <w:szCs w:val="24"/>
        </w:rPr>
        <w:t>(17)</w:t>
      </w:r>
      <w:r w:rsidR="00CE7533">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a digital measure of 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r w:rsidR="00887C84">
        <w:rPr>
          <w:rFonts w:ascii="Georgia" w:hAnsi="Georgia" w:cs="Arial"/>
          <w:b/>
          <w:sz w:val="24"/>
          <w:szCs w:val="24"/>
        </w:rPr>
        <w:t xml:space="preserve"> We propose the integration of this algorithm and novel methods aimed at meeting the challenge of transcript quantization.</w:t>
      </w:r>
    </w:p>
    <w:p w:rsidR="0002493D"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(18)</w:t>
      </w:r>
      <w:r w:rsidR="00CE7533">
        <w:rPr>
          <w:rFonts w:ascii="Georgia" w:hAnsi="Georgia"/>
          <w:sz w:val="24"/>
          <w:szCs w:val="24"/>
        </w:rPr>
        <w:fldChar w:fldCharType="end"/>
      </w:r>
      <w:r w:rsidRPr="009C6530">
        <w:rPr>
          <w:rFonts w:ascii="Georgia" w:hAnsi="Georgia"/>
          <w:sz w:val="24"/>
          <w:szCs w:val="24"/>
        </w:rPr>
        <w:t xml:space="preserve">. </w:t>
      </w:r>
      <w:r w:rsidRPr="001F7BDF">
        <w:rPr>
          <w:rFonts w:ascii="Georgia" w:hAnsi="Georgia"/>
          <w:b/>
          <w:sz w:val="24"/>
          <w:szCs w:val="24"/>
        </w:rPr>
        <w:t xml:space="preserve">As the focus in human genetics has shifted to complex, multi-gene diseases, there is an increasing need for comprehensive diagnostic evaluations of </w:t>
      </w:r>
      <w:r w:rsidR="00AA64B9" w:rsidRPr="001F7BDF">
        <w:rPr>
          <w:rFonts w:ascii="Georgia" w:hAnsi="Georgia"/>
          <w:b/>
          <w:sz w:val="24"/>
          <w:szCs w:val="24"/>
        </w:rPr>
        <w:t>SNPs (single nucleotide polymorp</w:t>
      </w:r>
      <w:r w:rsidR="00AA64B9" w:rsidRPr="00435305">
        <w:rPr>
          <w:rFonts w:ascii="Georgia" w:hAnsi="Georgia"/>
          <w:b/>
          <w:sz w:val="24"/>
          <w:szCs w:val="24"/>
        </w:rPr>
        <w:t>hisms)</w:t>
      </w:r>
      <w:r w:rsidR="004A79BF" w:rsidRPr="00435305">
        <w:rPr>
          <w:rFonts w:ascii="Georgia" w:hAnsi="Georgia"/>
          <w:b/>
          <w:sz w:val="24"/>
          <w:szCs w:val="24"/>
        </w:rPr>
        <w:t xml:space="preserve"> and other </w:t>
      </w:r>
      <w:r w:rsidR="00C83077" w:rsidRPr="00435305">
        <w:rPr>
          <w:rFonts w:ascii="Georgia" w:hAnsi="Georgia"/>
          <w:b/>
          <w:sz w:val="24"/>
          <w:szCs w:val="24"/>
        </w:rPr>
        <w:t xml:space="preserve">genomic </w:t>
      </w:r>
      <w:r w:rsidR="004A79BF" w:rsidRPr="00435305">
        <w:rPr>
          <w:rFonts w:ascii="Georgia" w:hAnsi="Georgia"/>
          <w:b/>
          <w:sz w:val="24"/>
          <w:szCs w:val="24"/>
        </w:rPr>
        <w:t>variation</w:t>
      </w:r>
      <w:r w:rsidR="00AA64B9" w:rsidRPr="00435305">
        <w:rPr>
          <w:rFonts w:ascii="Georgia" w:hAnsi="Georgia"/>
          <w:b/>
          <w:sz w:val="24"/>
          <w:szCs w:val="24"/>
        </w:rPr>
        <w:t xml:space="preserve"> in </w:t>
      </w:r>
      <w:r w:rsidRPr="00435305">
        <w:rPr>
          <w:rFonts w:ascii="Georgia" w:hAnsi="Georgia"/>
          <w:b/>
          <w:sz w:val="24"/>
          <w:szCs w:val="24"/>
        </w:rPr>
        <w:t xml:space="preserve">multiple genes. </w:t>
      </w:r>
      <w:r w:rsidR="00AA64B9" w:rsidRPr="00435305">
        <w:rPr>
          <w:rFonts w:ascii="Georgia" w:hAnsi="Georgia"/>
          <w:b/>
          <w:sz w:val="24"/>
          <w:szCs w:val="24"/>
        </w:rPr>
        <w:t xml:space="preserve"> </w:t>
      </w:r>
      <w:r w:rsidR="00435305">
        <w:rPr>
          <w:rFonts w:ascii="Georgia" w:hAnsi="Georgia"/>
          <w:b/>
          <w:sz w:val="24"/>
          <w:szCs w:val="24"/>
        </w:rPr>
        <w:t>To meet this need, we</w:t>
      </w:r>
      <w:r w:rsidR="00435305" w:rsidRPr="00435305">
        <w:rPr>
          <w:rFonts w:ascii="Georgia" w:hAnsi="Georgia"/>
          <w:b/>
          <w:sz w:val="24"/>
          <w:szCs w:val="24"/>
        </w:rPr>
        <w:t xml:space="preserve"> propose </w:t>
      </w:r>
      <w:r w:rsidR="00435305">
        <w:rPr>
          <w:rFonts w:ascii="Georgia" w:hAnsi="Georgia"/>
          <w:b/>
          <w:sz w:val="24"/>
          <w:szCs w:val="24"/>
        </w:rPr>
        <w:t xml:space="preserve">developing </w:t>
      </w:r>
      <w:r w:rsidR="00435305" w:rsidRPr="00435305">
        <w:rPr>
          <w:rFonts w:ascii="Georgia" w:hAnsi="Georgia"/>
          <w:b/>
          <w:sz w:val="24"/>
          <w:szCs w:val="24"/>
        </w:rPr>
        <w:t>a variation analysis workflow for the prediction, filtering and verification of small and large scale variations.</w:t>
      </w:r>
      <w:r w:rsidR="00435305">
        <w:rPr>
          <w:rFonts w:ascii="Georgia" w:hAnsi="Georgia"/>
          <w:sz w:val="24"/>
          <w:szCs w:val="24"/>
        </w:rPr>
        <w:t xml:space="preserve">  </w:t>
      </w:r>
    </w:p>
    <w:p w:rsidR="00E4711B" w:rsidRPr="00CF3D5C" w:rsidRDefault="00F236C7" w:rsidP="00E4711B">
      <w:pPr>
        <w:spacing w:before="120"/>
        <w:rPr>
          <w:rFonts w:ascii="Georgia" w:hAnsi="Georgia"/>
          <w:sz w:val="24"/>
          <w:szCs w:val="24"/>
        </w:rPr>
      </w:pPr>
      <w:r>
        <w:rPr>
          <w:rFonts w:ascii="Georgia" w:hAnsi="Georgia"/>
          <w:sz w:val="24"/>
          <w:szCs w:val="24"/>
        </w:rPr>
        <w:t>At the base-pair level, NextGen sequencing has been shown to highly suitable for high-throughput SNP (single nucleotide polymorphism) acquisition</w:t>
      </w:r>
      <w:r w:rsidR="00574F16" w:rsidRPr="00E75349">
        <w:rPr>
          <w:rFonts w:ascii="Georgia" w:hAnsi="Georgia"/>
          <w:sz w:val="24"/>
          <w:szCs w:val="24"/>
        </w:rPr>
        <w:t xml:space="preserve"> </w:t>
      </w:r>
      <w:r w:rsidR="00E75349" w:rsidRPr="00E75349">
        <w:rPr>
          <w:rFonts w:ascii="Georgia" w:hAnsi="Georgia"/>
          <w:sz w:val="24"/>
          <w:szCs w:val="24"/>
        </w:rPr>
        <w:fldChar w:fldCharType="begin">
          <w:fldData xml:space="preserve">PEVuZE5vdGU+PENpdGU+PEF1dGhvcj5IaWxsaWVyPC9BdXRob3I+PFllYXI+MjAwODwvWWVhcj48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</w:fldData>
        </w:fldChar>
      </w:r>
      <w:r w:rsidR="00E75349" w:rsidRPr="00E75349">
        <w:rPr>
          <w:rFonts w:ascii="Georgia" w:hAnsi="Georgia"/>
          <w:sz w:val="24"/>
          <w:szCs w:val="24"/>
        </w:rPr>
        <w:instrText xml:space="preserve"> ADDIN EN.CITE </w:instrText>
      </w:r>
      <w:r w:rsidR="00E75349" w:rsidRPr="00E75349">
        <w:rPr>
          <w:rFonts w:ascii="Georgia" w:hAnsi="Georgia"/>
          <w:sz w:val="24"/>
          <w:szCs w:val="24"/>
        </w:rPr>
        <w:fldChar w:fldCharType="begin">
          <w:fldData xml:space="preserve">PEVuZE5vdGU+PENpdGU+PEF1dGhvcj5IaWxsaWVyPC9BdXRob3I+PFllYXI+MjAwODwvWWVhcj48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</w:fldData>
        </w:fldChar>
      </w:r>
      <w:r w:rsidR="00E75349" w:rsidRPr="00E75349">
        <w:rPr>
          <w:rFonts w:ascii="Georgia" w:hAnsi="Georgia"/>
          <w:sz w:val="24"/>
          <w:szCs w:val="24"/>
        </w:rPr>
        <w:instrText xml:space="preserve"> ADDIN EN.CITE.DATA </w:instrText>
      </w:r>
      <w:r w:rsidR="00E75349" w:rsidRPr="00E75349">
        <w:rPr>
          <w:rFonts w:ascii="Georgia" w:hAnsi="Georgia"/>
          <w:sz w:val="24"/>
          <w:szCs w:val="24"/>
        </w:rPr>
      </w:r>
      <w:r w:rsidR="00E75349" w:rsidRPr="00E75349">
        <w:rPr>
          <w:rFonts w:ascii="Georgia" w:hAnsi="Georgia"/>
          <w:sz w:val="24"/>
          <w:szCs w:val="24"/>
        </w:rPr>
        <w:fldChar w:fldCharType="end"/>
      </w:r>
      <w:r w:rsidR="00E75349" w:rsidRPr="00E75349">
        <w:rPr>
          <w:rFonts w:ascii="Georgia" w:hAnsi="Georgia"/>
          <w:sz w:val="24"/>
          <w:szCs w:val="24"/>
        </w:rPr>
        <w:fldChar w:fldCharType="separate"/>
      </w:r>
      <w:r w:rsidR="00E75349" w:rsidRPr="00E75349">
        <w:rPr>
          <w:rFonts w:ascii="Georgia" w:hAnsi="Georgia"/>
          <w:sz w:val="24"/>
          <w:szCs w:val="24"/>
        </w:rPr>
        <w:t>(19, 20)</w:t>
      </w:r>
      <w:r w:rsidR="00E75349" w:rsidRPr="00E75349">
        <w:rPr>
          <w:rFonts w:ascii="Georgia" w:hAnsi="Georgia"/>
          <w:sz w:val="24"/>
          <w:szCs w:val="24"/>
        </w:rPr>
        <w:fldChar w:fldCharType="end"/>
      </w:r>
      <w:r w:rsidR="001810D1" w:rsidRPr="00E75349">
        <w:rPr>
          <w:rFonts w:ascii="Georgia" w:hAnsi="Georgia"/>
          <w:sz w:val="24"/>
          <w:szCs w:val="24"/>
        </w:rPr>
        <w:t xml:space="preserve"> </w:t>
      </w:r>
      <w:r w:rsidR="001810D1">
        <w:rPr>
          <w:rFonts w:ascii="Georgia" w:hAnsi="Georgia"/>
          <w:sz w:val="24"/>
          <w:szCs w:val="24"/>
        </w:rPr>
        <w:t>using novel algorithms such as PolyBayes</w:t>
      </w:r>
      <w:r w:rsidR="00574F16">
        <w:rPr>
          <w:rFonts w:ascii="Georgia" w:hAnsi="Georgia"/>
          <w:sz w:val="24"/>
          <w:szCs w:val="24"/>
        </w:rPr>
        <w:t xml:space="preserve"> </w:t>
      </w:r>
      <w:r w:rsidR="00E75349">
        <w:rPr>
          <w:rFonts w:ascii="Georgia" w:hAnsi="Georgia"/>
          <w:sz w:val="24"/>
          <w:szCs w:val="24"/>
        </w:rPr>
        <w:fldChar w:fldCharType="begin"/>
      </w:r>
      <w:r w:rsidR="00E75349">
        <w:rPr>
          <w:rFonts w:ascii="Georgia" w:hAnsi="Georgia"/>
          <w:sz w:val="24"/>
          <w:szCs w:val="24"/>
        </w:rPr>
        <w:instrText xml:space="preserve"> ADDIN EN.CITE &lt;EndNote&gt;&lt;Cite&gt;&lt;Author&gt;Marth&lt;/Author&gt;&lt;Year&gt;1999&lt;/Year&gt;&lt;RecNum&gt;839&lt;/RecNum&gt;&lt;record&gt;&lt;rec-number&gt;839&lt;/rec-number&gt;&lt;foreign-keys&gt;&lt;key app="EN" db-id="vavzfts03zvxtuepzzqxpte6wa9dr2xaprp5"&gt;839&lt;/key&gt;&lt;/foreign-keys&gt;&lt;ref-type name="Journal Article"&gt;17&lt;/ref-type&gt;&lt;contributors&gt;&lt;authors&gt;&lt;author&gt;Marth, G. T.&lt;/author&gt;&lt;author&gt;Korf, I.&lt;/author&gt;&lt;author&gt;Yandell, M. D.&lt;/author&gt;&lt;author&gt;Yeh, R. T.&lt;/author&gt;&lt;author&gt;Gu, Z.&lt;/author&gt;&lt;author&gt;Zakeri, H.&lt;/author&gt;&lt;author&gt;Stitziel, N. O.&lt;/author&gt;&lt;author&gt;Hillier, L.&lt;/author&gt;&lt;author&gt;Kwok, P. Y.&lt;/author&gt;&lt;author&gt;Gish, W. R.&lt;/author&gt;&lt;/authors&gt;&lt;/contributors&gt;&lt;auth-address&gt;Washington University Department of Genetics and Genome Sequencing Center, St. Louis, Missouri, USA. gmarth@watson.wustl.edu&lt;/auth-address&gt;&lt;titles&gt;&lt;title&gt;A general approach to single-nucleotide polymorphism discovery&lt;/title&gt;&lt;secondary-title&gt;Nat Genet&lt;/secondary-title&gt;&lt;/titles&gt;&lt;periodical&gt;&lt;full-title&gt;Nat Genet&lt;/full-title&gt;&lt;/periodical&gt;&lt;pages&gt;452-6&lt;/pages&gt;&lt;volume&gt;23&lt;/volume&gt;&lt;number&gt;4&lt;/number&gt;&lt;edition&gt;1999/12/02&lt;/edition&gt;&lt;keywords&gt;&lt;keyword&gt;Algorithms&lt;/keyword&gt;&lt;keyword&gt;Alleles&lt;/keyword&gt;&lt;keyword&gt;Bayes Theorem&lt;/keyword&gt;&lt;keyword&gt;Data Interpretation, Statistical&lt;/keyword&gt;&lt;keyword&gt;Expressed Sequence Tags&lt;/keyword&gt;&lt;keyword&gt;*Genetic Techniques&lt;/keyword&gt;&lt;keyword&gt;Genetic Variation&lt;/keyword&gt;&lt;keyword&gt;Genome, Human&lt;/keyword&gt;&lt;keyword&gt;Humans&lt;/keyword&gt;&lt;keyword&gt;*Polymorphism, Single Nucleotide&lt;/keyword&gt;&lt;keyword&gt;Sequence Alignment&lt;/keyword&gt;&lt;keyword&gt;Software&lt;/keyword&gt;&lt;/keywords&gt;&lt;dates&gt;&lt;year&gt;1999&lt;/year&gt;&lt;pub-dates&gt;&lt;date&gt;Dec&lt;/date&gt;&lt;/pub-dates&gt;&lt;/dates&gt;&lt;isbn&gt;1061-4036 (Print)&lt;/isbn&gt;&lt;accession-num&gt;10581034&lt;/accession-num&gt;&lt;urls&gt;&lt;related-urls&gt;&lt;url&gt;http://www.ncbi.nlm.nih.gov/entrez/query.fcgi?cmd=Retrieve&amp;amp;db=PubMed&amp;amp;dopt=Citation&amp;amp;list_uids=10581034&lt;/url&gt;&lt;/related-urls&gt;&lt;/urls&gt;&lt;electronic-resource-num&gt;10.1038/70570&lt;/electronic-resource-num&gt;&lt;language&gt;eng&lt;/language&gt;&lt;/record&gt;&lt;/Cite&gt;&lt;/EndNote&gt;</w:instrText>
      </w:r>
      <w:r w:rsidR="00E75349">
        <w:rPr>
          <w:rFonts w:ascii="Georgia" w:hAnsi="Georgia"/>
          <w:sz w:val="24"/>
          <w:szCs w:val="24"/>
        </w:rPr>
        <w:fldChar w:fldCharType="separate"/>
      </w:r>
      <w:r w:rsidR="00E75349">
        <w:rPr>
          <w:rFonts w:ascii="Georgia" w:hAnsi="Georgia"/>
          <w:sz w:val="24"/>
          <w:szCs w:val="24"/>
        </w:rPr>
        <w:t>(21)</w:t>
      </w:r>
      <w:r w:rsidR="00E75349">
        <w:rPr>
          <w:rFonts w:ascii="Georgia" w:hAnsi="Georgia"/>
          <w:sz w:val="24"/>
          <w:szCs w:val="24"/>
        </w:rPr>
        <w:fldChar w:fldCharType="end"/>
      </w:r>
      <w:r>
        <w:rPr>
          <w:rFonts w:ascii="Georgia" w:hAnsi="Georgia"/>
          <w:sz w:val="24"/>
          <w:szCs w:val="24"/>
        </w:rPr>
        <w:t>.</w:t>
      </w:r>
      <w:r w:rsidR="001810D1">
        <w:rPr>
          <w:rFonts w:ascii="Georgia" w:hAnsi="Georgia"/>
          <w:sz w:val="24"/>
          <w:szCs w:val="24"/>
        </w:rPr>
        <w:t xml:space="preserve"> At the level of large-scale genomic variation, 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CE7533">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(22)</w:t>
      </w:r>
      <w:r w:rsidR="00CE7533">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CE7533">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E75349">
        <w:rPr>
          <w:rFonts w:ascii="Georgia" w:hAnsi="Georgia" w:cs="Arial"/>
          <w:sz w:val="24"/>
          <w:szCs w:val="24"/>
        </w:rPr>
        <w:instrText xml:space="preserve"> ADDIN EN.CITE </w:instrText>
      </w:r>
      <w:r w:rsidR="00E75349">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E75349">
        <w:rPr>
          <w:rFonts w:ascii="Georgia" w:hAnsi="Georgia" w:cs="Arial"/>
          <w:sz w:val="24"/>
          <w:szCs w:val="24"/>
        </w:rPr>
        <w:instrText xml:space="preserve"> ADDIN EN.CITE.DATA </w:instrText>
      </w:r>
      <w:r w:rsidR="00E75349">
        <w:rPr>
          <w:rFonts w:ascii="Georgia" w:hAnsi="Georgia" w:cs="Arial"/>
          <w:sz w:val="24"/>
          <w:szCs w:val="24"/>
        </w:rPr>
      </w:r>
      <w:r w:rsidR="00E75349">
        <w:rPr>
          <w:rFonts w:ascii="Georgia" w:hAnsi="Georgia" w:cs="Arial"/>
          <w:sz w:val="24"/>
          <w:szCs w:val="24"/>
        </w:rPr>
        <w:fldChar w:fldCharType="end"/>
      </w:r>
      <w:r w:rsidR="00CE7533">
        <w:rPr>
          <w:rFonts w:ascii="Georgia" w:hAnsi="Georgia" w:cs="Arial"/>
          <w:sz w:val="24"/>
          <w:szCs w:val="24"/>
        </w:rPr>
        <w:fldChar w:fldCharType="separate"/>
      </w:r>
      <w:r w:rsidR="00E75349">
        <w:rPr>
          <w:rFonts w:ascii="Georgia" w:hAnsi="Georgia" w:cs="Arial"/>
          <w:sz w:val="24"/>
          <w:szCs w:val="24"/>
        </w:rPr>
        <w:t>(23)</w:t>
      </w:r>
      <w:r w:rsidR="00CE7533">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r w:rsidR="00B632CF">
        <w:rPr>
          <w:rFonts w:ascii="Georgia" w:hAnsi="Georgia"/>
          <w:b/>
          <w:sz w:val="24"/>
          <w:szCs w:val="24"/>
        </w:rPr>
        <w:t>C</w:t>
      </w:r>
      <w:r w:rsidR="00E4711B" w:rsidRPr="001F7BDF">
        <w:rPr>
          <w:rFonts w:ascii="Georgia" w:hAnsi="Georgia"/>
          <w:b/>
          <w:sz w:val="24"/>
          <w:szCs w:val="24"/>
        </w:rPr>
        <w:t xml:space="preserve">opy number variations </w:t>
      </w:r>
      <w:r w:rsidR="00E4711B" w:rsidRPr="001F7BDF">
        <w:rPr>
          <w:rFonts w:ascii="Georgia" w:hAnsi="Georgia" w:cs="Arial"/>
          <w:b/>
          <w:sz w:val="24"/>
          <w:szCs w:val="24"/>
        </w:rPr>
        <w:t>(CNV</w:t>
      </w:r>
      <w:r w:rsidR="00E4711B" w:rsidRPr="001F7BDF">
        <w:rPr>
          <w:rFonts w:ascii="Georgia" w:hAnsi="Georgia"/>
          <w:b/>
          <w:sz w:val="24"/>
          <w:szCs w:val="24"/>
        </w:rPr>
        <w:t xml:space="preserve">) </w:t>
      </w:r>
      <w:r w:rsidR="00B632CF">
        <w:rPr>
          <w:rFonts w:ascii="Georgia" w:hAnsi="Georgia"/>
          <w:b/>
          <w:sz w:val="24"/>
          <w:szCs w:val="24"/>
        </w:rPr>
        <w:t xml:space="preserve">are another form of important large-scale variation: </w:t>
      </w:r>
      <w:r w:rsidR="00E4711B" w:rsidRPr="001F7BDF">
        <w:rPr>
          <w:rFonts w:ascii="Georgia" w:hAnsi="Georgia"/>
          <w:b/>
          <w:sz w:val="24"/>
          <w:szCs w:val="24"/>
        </w:rPr>
        <w:t xml:space="preserve">CNVs of </w:t>
      </w:r>
      <w:r w:rsidR="00E4711B" w:rsidRPr="001F7BDF">
        <w:rPr>
          <w:rFonts w:ascii="Georgia" w:hAnsi="Georgia" w:cs="Arial"/>
          <w:b/>
          <w:sz w:val="24"/>
          <w:szCs w:val="24"/>
        </w:rPr>
        <w:t xml:space="preserve">100 kilobases and greater contribute substantially to genomic variation between normal humans </w:t>
      </w:r>
      <w:r w:rsidR="00CE7533" w:rsidRPr="001F7BDF">
        <w:rPr>
          <w:rFonts w:ascii="Georgia" w:hAnsi="Georgia" w:cs="Arial"/>
          <w:b/>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E75349">
        <w:rPr>
          <w:rFonts w:ascii="Georgia" w:hAnsi="Georgia" w:cs="Arial"/>
          <w:b/>
          <w:sz w:val="24"/>
          <w:szCs w:val="24"/>
        </w:rPr>
        <w:instrText xml:space="preserve"> ADDIN EN.CITE </w:instrText>
      </w:r>
      <w:r w:rsidR="00E75349">
        <w:rPr>
          <w:rFonts w:ascii="Georgia" w:hAnsi="Georgia" w:cs="Arial"/>
          <w:b/>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E75349">
        <w:rPr>
          <w:rFonts w:ascii="Georgia" w:hAnsi="Georgia" w:cs="Arial"/>
          <w:b/>
          <w:sz w:val="24"/>
          <w:szCs w:val="24"/>
        </w:rPr>
        <w:instrText xml:space="preserve"> ADDIN EN.CITE.DATA </w:instrText>
      </w:r>
      <w:r w:rsidR="00E75349">
        <w:rPr>
          <w:rFonts w:ascii="Georgia" w:hAnsi="Georgia" w:cs="Arial"/>
          <w:b/>
          <w:sz w:val="24"/>
          <w:szCs w:val="24"/>
        </w:rPr>
      </w:r>
      <w:r w:rsidR="00E75349">
        <w:rPr>
          <w:rFonts w:ascii="Georgia" w:hAnsi="Georgia" w:cs="Arial"/>
          <w:b/>
          <w:sz w:val="24"/>
          <w:szCs w:val="24"/>
        </w:rPr>
        <w:fldChar w:fldCharType="end"/>
      </w:r>
      <w:r w:rsidR="00CE7533" w:rsidRPr="001F7BDF">
        <w:rPr>
          <w:rFonts w:ascii="Georgia" w:hAnsi="Georgia" w:cs="Arial"/>
          <w:b/>
          <w:sz w:val="24"/>
          <w:szCs w:val="24"/>
        </w:rPr>
        <w:fldChar w:fldCharType="separate"/>
      </w:r>
      <w:r w:rsidR="00E75349">
        <w:rPr>
          <w:rFonts w:ascii="Georgia" w:hAnsi="Georgia" w:cs="Arial"/>
          <w:b/>
          <w:sz w:val="24"/>
          <w:szCs w:val="24"/>
        </w:rPr>
        <w:t>(24, 25)</w:t>
      </w:r>
      <w:r w:rsidR="00CE7533" w:rsidRPr="001F7BDF">
        <w:rPr>
          <w:rFonts w:ascii="Georgia" w:hAnsi="Georgia" w:cs="Arial"/>
          <w:b/>
          <w:sz w:val="24"/>
          <w:szCs w:val="24"/>
        </w:rPr>
        <w:fldChar w:fldCharType="end"/>
      </w:r>
      <w:r w:rsidR="00B632CF">
        <w:rPr>
          <w:rFonts w:ascii="Georgia" w:hAnsi="Georgia" w:cs="Arial"/>
          <w:b/>
          <w:sz w:val="24"/>
          <w:szCs w:val="24"/>
        </w:rPr>
        <w:t xml:space="preserve"> however </w:t>
      </w:r>
      <w:r w:rsidR="00B632CF">
        <w:rPr>
          <w:rFonts w:ascii="Georgia" w:hAnsi="Georgia"/>
          <w:b/>
          <w:sz w:val="24"/>
          <w:szCs w:val="24"/>
        </w:rPr>
        <w:t xml:space="preserve">they </w:t>
      </w:r>
      <w:r w:rsidR="00B632CF" w:rsidRPr="001F7BDF">
        <w:rPr>
          <w:rFonts w:ascii="Georgia" w:hAnsi="Georgia"/>
          <w:b/>
          <w:sz w:val="24"/>
          <w:szCs w:val="24"/>
        </w:rPr>
        <w:t>remain difficult to measure</w:t>
      </w:r>
      <w:r w:rsidR="00E4711B" w:rsidRPr="001F7BDF">
        <w:rPr>
          <w:rFonts w:ascii="Georgia" w:hAnsi="Georgia"/>
          <w:b/>
          <w:sz w:val="24"/>
          <w:szCs w:val="24"/>
        </w:rPr>
        <w:t>.</w:t>
      </w:r>
      <w:r w:rsidR="00E4711B" w:rsidRPr="00CF3D5C">
        <w:rPr>
          <w:rFonts w:ascii="Georgia" w:hAnsi="Georgia"/>
          <w:sz w:val="24"/>
          <w:szCs w:val="24"/>
        </w:rPr>
        <w:t xml:space="preserve"> Microarray-based approaches for detecting CNVs depend on microarray signal intensity differences to predict regions of variation and cannot detect inversions. Before the advent of NextGen CNV technique, only a small fraction of copy-number variant (CNV) base pairs had been determined at the sequence level </w:t>
      </w:r>
      <w:r w:rsidR="00CE7533" w:rsidRPr="00CF3D5C">
        <w:rPr>
          <w:rFonts w:ascii="Georgia" w:hAnsi="Georgia"/>
          <w:sz w:val="24"/>
          <w:szCs w:val="24"/>
        </w:rPr>
        <w:fldChar w:fldCharType="begin"/>
      </w:r>
      <w:r w:rsidR="00E75349">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CE7533" w:rsidRPr="00CF3D5C">
        <w:rPr>
          <w:rFonts w:ascii="Georgia" w:hAnsi="Georgia"/>
          <w:sz w:val="24"/>
          <w:szCs w:val="24"/>
        </w:rPr>
        <w:fldChar w:fldCharType="separate"/>
      </w:r>
      <w:r w:rsidR="00E75349">
        <w:rPr>
          <w:rFonts w:ascii="Georgia" w:hAnsi="Georgia"/>
          <w:sz w:val="24"/>
          <w:szCs w:val="24"/>
        </w:rPr>
        <w:t>(26)</w:t>
      </w:r>
      <w:r w:rsidR="00CE7533" w:rsidRPr="00CF3D5C">
        <w:rPr>
          <w:rFonts w:ascii="Georgia" w:hAnsi="Georgia"/>
          <w:sz w:val="24"/>
          <w:szCs w:val="24"/>
        </w:rPr>
        <w:fldChar w:fldCharType="end"/>
      </w:r>
      <w:r w:rsidR="00E4711B" w:rsidRPr="00CF3D5C">
        <w:rPr>
          <w:rFonts w:ascii="Georgia" w:hAnsi="Georgia"/>
          <w:sz w:val="24"/>
          <w:szCs w:val="24"/>
        </w:rPr>
        <w:t xml:space="preserve">.  NextGen CNV mapping allows the discovery </w:t>
      </w:r>
      <w:r w:rsidR="00712657" w:rsidRPr="00CF3D5C">
        <w:rPr>
          <w:rFonts w:ascii="Georgia" w:hAnsi="Georgia"/>
          <w:sz w:val="24"/>
          <w:szCs w:val="24"/>
        </w:rPr>
        <w:t xml:space="preserve">of </w:t>
      </w:r>
      <w:r w:rsidR="00E4711B" w:rsidRPr="00CF3D5C">
        <w:rPr>
          <w:rFonts w:ascii="Georgia" w:hAnsi="Georgia"/>
          <w:sz w:val="24"/>
          <w:szCs w:val="24"/>
        </w:rPr>
        <w:t xml:space="preserve">cancer-causing genes in genomic regions that show recurrent copy-number alterations (gains and losses) in tumor genomes </w:t>
      </w:r>
      <w:r w:rsidR="00CE7533" w:rsidRPr="00CF3D5C">
        <w:rPr>
          <w:rFonts w:ascii="Georgia" w:hAnsi="Georgia"/>
          <w:sz w:val="24"/>
          <w:szCs w:val="24"/>
        </w:rPr>
        <w:fldChar w:fldCharType="begin"/>
      </w:r>
      <w:r w:rsidR="00E75349">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CE7533" w:rsidRPr="00CF3D5C">
        <w:rPr>
          <w:rFonts w:ascii="Georgia" w:hAnsi="Georgia"/>
          <w:sz w:val="24"/>
          <w:szCs w:val="24"/>
        </w:rPr>
        <w:fldChar w:fldCharType="separate"/>
      </w:r>
      <w:r w:rsidR="00E75349">
        <w:rPr>
          <w:rFonts w:ascii="Georgia" w:hAnsi="Georgia"/>
          <w:sz w:val="24"/>
          <w:szCs w:val="24"/>
        </w:rPr>
        <w:t>(27)</w:t>
      </w:r>
      <w:r w:rsidR="00CE7533" w:rsidRPr="00CF3D5C">
        <w:rPr>
          <w:rFonts w:ascii="Georgia" w:hAnsi="Georgia"/>
          <w:sz w:val="24"/>
          <w:szCs w:val="24"/>
        </w:rPr>
        <w:fldChar w:fldCharType="end"/>
      </w:r>
      <w:r w:rsidR="00E4711B" w:rsidRPr="00CF3D5C">
        <w:rPr>
          <w:rFonts w:ascii="Georgia" w:hAnsi="Georgia"/>
          <w:sz w:val="24"/>
          <w:szCs w:val="24"/>
        </w:rPr>
        <w:t>.</w:t>
      </w:r>
      <w:r w:rsidR="001F7BDF">
        <w:rPr>
          <w:rFonts w:ascii="Georgia" w:hAnsi="Georgia"/>
          <w:sz w:val="24"/>
          <w:szCs w:val="24"/>
        </w:rPr>
        <w:t xml:space="preserve">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CE7533">
        <w:rPr>
          <w:rFonts w:ascii="Georgia" w:hAnsi="Georgia" w:cs="Giovanni-Book"/>
          <w:sz w:val="24"/>
          <w:szCs w:val="24"/>
        </w:rPr>
        <w:fldChar w:fldCharType="begin"/>
      </w:r>
      <w:r w:rsidR="00E75349">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CE7533">
        <w:rPr>
          <w:rFonts w:ascii="Georgia" w:hAnsi="Georgia" w:cs="Giovanni-Book"/>
          <w:sz w:val="24"/>
          <w:szCs w:val="24"/>
        </w:rPr>
        <w:fldChar w:fldCharType="separate"/>
      </w:r>
      <w:r w:rsidR="00E75349">
        <w:rPr>
          <w:rFonts w:ascii="Georgia" w:hAnsi="Georgia" w:cs="Giovanni-Book"/>
          <w:sz w:val="24"/>
          <w:szCs w:val="24"/>
        </w:rPr>
        <w:t>(28)</w:t>
      </w:r>
      <w:r w:rsidR="00CE7533">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(29)</w:t>
      </w:r>
      <w:r w:rsidR="00CE7533">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CE7533">
        <w:rPr>
          <w:rFonts w:ascii="Georgia" w:hAnsi="Georgia"/>
          <w:sz w:val="24"/>
          <w:szCs w:val="24"/>
        </w:rPr>
        <w:fldChar w:fldCharType="separate"/>
      </w:r>
      <w:r w:rsidR="00E75349">
        <w:rPr>
          <w:rFonts w:ascii="Georgia" w:hAnsi="Georgia"/>
          <w:sz w:val="24"/>
          <w:szCs w:val="24"/>
        </w:rPr>
        <w:t>(30)</w:t>
      </w:r>
      <w:r w:rsidR="00CE7533">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CE7533">
        <w:rPr>
          <w:rFonts w:ascii="Georgia" w:hAnsi="Georgia"/>
          <w:sz w:val="24"/>
          <w:szCs w:val="24"/>
        </w:rPr>
        <w:fldChar w:fldCharType="separate"/>
      </w:r>
      <w:r w:rsidR="00E75349">
        <w:rPr>
          <w:rFonts w:ascii="Georgia" w:hAnsi="Georgia"/>
          <w:sz w:val="24"/>
          <w:szCs w:val="24"/>
        </w:rPr>
        <w:t>(31)</w:t>
      </w:r>
      <w:r w:rsidR="00CE7533">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w:t>
      </w:r>
      <w:r w:rsidR="006478EF">
        <w:rPr>
          <w:rFonts w:ascii="Georgia" w:hAnsi="Georgia" w:cs="Giovanni-Book"/>
          <w:sz w:val="24"/>
          <w:szCs w:val="24"/>
        </w:rPr>
        <w:lastRenderedPageBreak/>
        <w:t xml:space="preserve">for which there is no commonly-accepted </w:t>
      </w:r>
      <w:r w:rsidR="006478EF" w:rsidRPr="00092052">
        <w:rPr>
          <w:rFonts w:ascii="Georgia" w:hAnsi="Georgia"/>
          <w:sz w:val="24"/>
          <w:szCs w:val="24"/>
        </w:rPr>
        <w:t xml:space="preserve">ontology </w:t>
      </w:r>
      <w:r w:rsidR="00CE7533">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(32-34)</w:t>
      </w:r>
      <w:r w:rsidR="00CE7533">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CE7533">
        <w:rPr>
          <w:rFonts w:ascii="Georgia" w:hAnsi="Georgia" w:cs="Giovanni-Book"/>
          <w:sz w:val="24"/>
          <w:szCs w:val="24"/>
        </w:rPr>
        <w:fldChar w:fldCharType="begin"/>
      </w:r>
      <w:r w:rsidR="00E75349">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CE7533">
        <w:rPr>
          <w:rFonts w:ascii="Georgia" w:hAnsi="Georgia" w:cs="Giovanni-Book"/>
          <w:sz w:val="24"/>
          <w:szCs w:val="24"/>
        </w:rPr>
        <w:fldChar w:fldCharType="separate"/>
      </w:r>
      <w:r w:rsidR="00E75349">
        <w:rPr>
          <w:rFonts w:ascii="Georgia" w:hAnsi="Georgia" w:cs="Giovanni-Book"/>
          <w:sz w:val="24"/>
          <w:szCs w:val="24"/>
        </w:rPr>
        <w:t>(35)</w:t>
      </w:r>
      <w:r w:rsidR="00CE7533">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CE7533">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(36, 37)</w:t>
      </w:r>
      <w:r w:rsidR="00CE7533">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(38)</w:t>
      </w:r>
      <w:r w:rsidR="00CE7533">
        <w:rPr>
          <w:rFonts w:ascii="Georgia" w:hAnsi="Georgia"/>
          <w:sz w:val="24"/>
          <w:szCs w:val="24"/>
        </w:rPr>
        <w:fldChar w:fldCharType="end"/>
      </w:r>
      <w:r w:rsidR="0093670F">
        <w:rPr>
          <w:rFonts w:ascii="Georgia" w:hAnsi="Georgia"/>
          <w:sz w:val="24"/>
          <w:szCs w:val="24"/>
        </w:rPr>
        <w:t xml:space="preserve"> and GBrowse </w:t>
      </w:r>
      <w:r w:rsidR="00CE7533">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(39, 40)</w:t>
      </w:r>
      <w:r w:rsidR="00CE7533">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CE7533">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(41, 42)</w:t>
      </w:r>
      <w:r w:rsidR="00CE7533">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1F7BDF" w:rsidP="003308E3">
      <w:pPr>
        <w:spacing w:before="120"/>
        <w:rPr>
          <w:rFonts w:ascii="Georgia" w:hAnsi="Georgia"/>
          <w:sz w:val="24"/>
          <w:szCs w:val="24"/>
        </w:rPr>
      </w:pPr>
      <w:r w:rsidRPr="00CE7533">
        <w:rPr>
          <w:szCs w:val="24"/>
        </w:rPr>
        <w:pict>
          <v:shape id="_x0000_i1026" type="#_x0000_t75" style="width:540pt;height:379.5pt">
            <v:imagedata r:id="rId15"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w:t>
      </w:r>
      <w:r w:rsidRPr="00B267E0">
        <w:rPr>
          <w:rFonts w:ascii="Georgia" w:hAnsi="Georgia"/>
          <w:i/>
          <w:color w:val="548DD4" w:themeColor="text2" w:themeTint="99"/>
        </w:rPr>
        <w:lastRenderedPageBreak/>
        <w:t>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E7533">
        <w:rPr>
          <w:rFonts w:ascii="Georgia" w:hAnsi="Georgia"/>
          <w:sz w:val="24"/>
          <w:szCs w:val="24"/>
        </w:rPr>
        <w:fldChar w:fldCharType="separate"/>
      </w:r>
      <w:r w:rsidR="00E75349">
        <w:rPr>
          <w:rFonts w:ascii="Georgia" w:hAnsi="Georgia"/>
          <w:sz w:val="24"/>
          <w:szCs w:val="24"/>
        </w:rPr>
        <w:t>(14)</w:t>
      </w:r>
      <w:r w:rsidR="00CE7533">
        <w:rPr>
          <w:rFonts w:ascii="Georgia" w:hAnsi="Georgia"/>
          <w:sz w:val="24"/>
          <w:szCs w:val="24"/>
        </w:rPr>
        <w:fldChar w:fldCharType="end"/>
      </w:r>
      <w:r w:rsidRPr="00BC6D51">
        <w:rPr>
          <w:rFonts w:ascii="Georgia" w:hAnsi="Georgia"/>
          <w:sz w:val="24"/>
          <w:szCs w:val="24"/>
        </w:rPr>
        <w:t xml:space="preserve">, Mira v2.9.25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E7533">
        <w:rPr>
          <w:rFonts w:ascii="Georgia" w:hAnsi="Georgia"/>
          <w:sz w:val="24"/>
          <w:szCs w:val="24"/>
        </w:rPr>
        <w:fldChar w:fldCharType="separate"/>
      </w:r>
      <w:r w:rsidR="00E75349">
        <w:rPr>
          <w:rFonts w:ascii="Georgia" w:hAnsi="Georgia"/>
          <w:sz w:val="24"/>
          <w:szCs w:val="24"/>
        </w:rPr>
        <w:t>(7)</w:t>
      </w:r>
      <w:r w:rsidR="00CE7533">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E7533">
        <w:rPr>
          <w:rFonts w:ascii="Georgia" w:hAnsi="Georgia"/>
          <w:sz w:val="24"/>
          <w:szCs w:val="24"/>
        </w:rPr>
        <w:fldChar w:fldCharType="separate"/>
      </w:r>
      <w:r w:rsidR="00E75349">
        <w:rPr>
          <w:rFonts w:ascii="Georgia" w:hAnsi="Georgia"/>
          <w:sz w:val="24"/>
          <w:szCs w:val="24"/>
        </w:rPr>
        <w:t>(8)</w:t>
      </w:r>
      <w:r w:rsidR="00CE7533">
        <w:rPr>
          <w:rFonts w:ascii="Georgia" w:hAnsi="Georgia"/>
          <w:sz w:val="24"/>
          <w:szCs w:val="24"/>
        </w:rPr>
        <w:fldChar w:fldCharType="end"/>
      </w:r>
      <w:r w:rsidRPr="009C6530">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E7533">
        <w:rPr>
          <w:rFonts w:ascii="Georgia" w:hAnsi="Georgia"/>
          <w:sz w:val="24"/>
          <w:szCs w:val="24"/>
        </w:rPr>
        <w:fldChar w:fldCharType="separate"/>
      </w:r>
      <w:r w:rsidR="00E75349">
        <w:rPr>
          <w:rFonts w:ascii="Georgia" w:hAnsi="Georgia"/>
          <w:sz w:val="24"/>
          <w:szCs w:val="24"/>
        </w:rPr>
        <w:t>(9)</w:t>
      </w:r>
      <w:r w:rsidR="00CE7533">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6"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CE7533"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75349">
        <w:rPr>
          <w:rFonts w:ascii="Georgia" w:hAnsi="Georgia"/>
          <w:b/>
          <w:sz w:val="24"/>
          <w:szCs w:val="24"/>
        </w:rPr>
        <w:instrText xml:space="preserve"> ADDIN EN.CITE </w:instrText>
      </w:r>
      <w:r w:rsidR="00E75349">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E75349">
        <w:rPr>
          <w:rFonts w:ascii="Georgia" w:hAnsi="Georgia"/>
          <w:b/>
          <w:sz w:val="24"/>
          <w:szCs w:val="24"/>
        </w:rPr>
        <w:instrText xml:space="preserve"> ADDIN EN.CITE.DATA </w:instrText>
      </w:r>
      <w:r w:rsidR="00E75349">
        <w:rPr>
          <w:rFonts w:ascii="Georgia" w:hAnsi="Georgia"/>
          <w:b/>
          <w:sz w:val="24"/>
          <w:szCs w:val="24"/>
        </w:rPr>
      </w:r>
      <w:r w:rsidR="00E75349">
        <w:rPr>
          <w:rFonts w:ascii="Georgia" w:hAnsi="Georgia"/>
          <w:b/>
          <w:sz w:val="24"/>
          <w:szCs w:val="24"/>
        </w:rPr>
        <w:fldChar w:fldCharType="end"/>
      </w:r>
      <w:r w:rsidR="00CE7533" w:rsidRPr="00C80E9B">
        <w:rPr>
          <w:rFonts w:ascii="Georgia" w:hAnsi="Georgia"/>
          <w:b/>
          <w:sz w:val="24"/>
          <w:szCs w:val="24"/>
        </w:rPr>
        <w:fldChar w:fldCharType="separate"/>
      </w:r>
      <w:r w:rsidR="00E75349">
        <w:rPr>
          <w:rFonts w:ascii="Georgia" w:hAnsi="Georgia"/>
          <w:b/>
          <w:sz w:val="24"/>
          <w:szCs w:val="24"/>
        </w:rPr>
        <w:t>(17)</w:t>
      </w:r>
      <w:r w:rsidR="00CE7533"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lastRenderedPageBreak/>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visualization of </w:t>
      </w:r>
      <w:r>
        <w:rPr>
          <w:rFonts w:ascii="Georgia" w:hAnsi="Georgia"/>
          <w:sz w:val="24"/>
          <w:szCs w:val="24"/>
        </w:rPr>
        <w:t xml:space="preserve">huge </w:t>
      </w:r>
      <w:r w:rsidR="00CF3D5C" w:rsidRPr="00C03459">
        <w:rPr>
          <w:rFonts w:ascii="Georgia" w:hAnsi="Georgia"/>
          <w:sz w:val="24"/>
          <w:szCs w:val="24"/>
        </w:rPr>
        <w:t xml:space="preserve">genomic </w:t>
      </w:r>
      <w:r>
        <w:rPr>
          <w:rFonts w:ascii="Georgia" w:hAnsi="Georgia"/>
          <w:sz w:val="24"/>
          <w:szCs w:val="24"/>
        </w:rPr>
        <w:t xml:space="preserve">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The software development process will implement 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 xml:space="preserve">list of requirements </w:t>
      </w:r>
      <w:r w:rsidR="007A06E2">
        <w:rPr>
          <w:rFonts w:ascii="Georgia" w:hAnsi="Georgia"/>
          <w:sz w:val="24"/>
          <w:szCs w:val="24"/>
        </w:rPr>
        <w:t xml:space="preserve">and functional criteria </w:t>
      </w:r>
      <w:r>
        <w:rPr>
          <w:rFonts w:ascii="Georgia" w:hAnsi="Georgia"/>
          <w:sz w:val="24"/>
          <w:szCs w:val="24"/>
        </w:rPr>
        <w:t>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lastRenderedPageBreak/>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CE7533">
        <w:rPr>
          <w:rFonts w:ascii="Georgia" w:hAnsi="Georgia"/>
          <w:sz w:val="24"/>
          <w:szCs w:val="24"/>
        </w:rPr>
        <w:fldChar w:fldCharType="separate"/>
      </w:r>
      <w:r w:rsidR="00E75349">
        <w:rPr>
          <w:rFonts w:ascii="Georgia" w:hAnsi="Georgia"/>
          <w:sz w:val="24"/>
          <w:szCs w:val="24"/>
        </w:rPr>
        <w:t>(43)</w:t>
      </w:r>
      <w:r w:rsidR="00CE7533">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CE7533">
        <w:rPr>
          <w:rFonts w:ascii="Georgia" w:hAnsi="Georgia"/>
          <w:sz w:val="24"/>
          <w:szCs w:val="24"/>
        </w:rPr>
        <w:fldChar w:fldCharType="separate"/>
      </w:r>
      <w:r w:rsidR="00E75349">
        <w:rPr>
          <w:rFonts w:ascii="Georgia" w:hAnsi="Georgia"/>
          <w:sz w:val="24"/>
          <w:szCs w:val="24"/>
        </w:rPr>
        <w:t>(44)</w:t>
      </w:r>
      <w:r w:rsidR="00CE7533">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CE7533">
        <w:rPr>
          <w:rFonts w:ascii="Georgia" w:hAnsi="Georgia"/>
          <w:b/>
          <w:sz w:val="24"/>
          <w:szCs w:val="24"/>
        </w:rPr>
        <w:fldChar w:fldCharType="begin"/>
      </w:r>
      <w:r w:rsidR="00E75349">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CE7533">
        <w:rPr>
          <w:rFonts w:ascii="Georgia" w:hAnsi="Georgia"/>
          <w:b/>
          <w:sz w:val="24"/>
          <w:szCs w:val="24"/>
        </w:rPr>
        <w:fldChar w:fldCharType="separate"/>
      </w:r>
      <w:r w:rsidR="00E75349">
        <w:rPr>
          <w:rFonts w:ascii="Georgia" w:hAnsi="Georgia"/>
          <w:b/>
          <w:sz w:val="24"/>
          <w:szCs w:val="24"/>
        </w:rPr>
        <w:t>(45)</w:t>
      </w:r>
      <w:r w:rsidR="00CE7533">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7"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1F7BDF" w:rsidP="003D0D84">
      <w:pPr>
        <w:autoSpaceDE w:val="0"/>
        <w:autoSpaceDN w:val="0"/>
        <w:adjustRightInd w:val="0"/>
        <w:jc w:val="center"/>
        <w:rPr>
          <w:rFonts w:ascii="Georgia" w:hAnsi="Georgia"/>
          <w:sz w:val="24"/>
          <w:szCs w:val="24"/>
        </w:rPr>
      </w:pPr>
      <w:r w:rsidRPr="00CE7533">
        <w:rPr>
          <w:rFonts w:ascii="Georgia" w:hAnsi="Georgia"/>
          <w:sz w:val="24"/>
          <w:szCs w:val="24"/>
        </w:rPr>
        <w:pict>
          <v:shape id="Picture 2" o:spid="_x0000_i1027" type="#_x0000_t75" alt="view-complete-opaque.png" style="width:468pt;height:301.5pt;visibility:visible;mso-wrap-style:square">
            <v:imagedata r:id="rId18"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w:t>
      </w:r>
      <w:r w:rsidRPr="007A06E2">
        <w:rPr>
          <w:rFonts w:ascii="Georgia" w:hAnsi="Georgia"/>
          <w:color w:val="000000" w:themeColor="text1"/>
          <w:sz w:val="24"/>
          <w:szCs w:val="24"/>
        </w:rPr>
        <w:t xml:space="preserve">application linked to </w:t>
      </w:r>
      <w:r w:rsidR="007A06E2" w:rsidRPr="007A06E2">
        <w:rPr>
          <w:rFonts w:ascii="Georgia" w:hAnsi="Georgia"/>
          <w:color w:val="000000" w:themeColor="text1"/>
          <w:sz w:val="24"/>
          <w:szCs w:val="24"/>
        </w:rPr>
        <w:t>the University of Miami’s online bioinformatics information services portal (</w:t>
      </w:r>
      <w:hyperlink r:id="rId19" w:history="1">
        <w:r w:rsidR="007A06E2" w:rsidRPr="007A06E2">
          <w:rPr>
            <w:rStyle w:val="Hyperlink"/>
            <w:rFonts w:ascii="Georgia" w:hAnsi="Georgia"/>
            <w:sz w:val="24"/>
            <w:szCs w:val="24"/>
          </w:rPr>
          <w:t>http://bio.ccs.miami.edu/ibis</w:t>
        </w:r>
      </w:hyperlink>
      <w:r w:rsidR="007A06E2" w:rsidRPr="007A06E2">
        <w:rPr>
          <w:rFonts w:ascii="Georgia" w:hAnsi="Georgia"/>
          <w:color w:val="000000" w:themeColor="text1"/>
          <w:sz w:val="24"/>
          <w:szCs w:val="24"/>
        </w:rPr>
        <w:t xml:space="preserve">) </w:t>
      </w:r>
      <w:r w:rsidRPr="007A06E2">
        <w:rPr>
          <w:rFonts w:ascii="Georgia" w:hAnsi="Georgia"/>
          <w:color w:val="000000" w:themeColor="text1"/>
          <w:sz w:val="24"/>
          <w:szCs w:val="24"/>
        </w:rPr>
        <w:t>and a</w:t>
      </w:r>
      <w:r w:rsidR="00F06E57" w:rsidRPr="007A06E2">
        <w:rPr>
          <w:rFonts w:ascii="Georgia" w:hAnsi="Georgia"/>
          <w:color w:val="000000" w:themeColor="text1"/>
          <w:sz w:val="24"/>
          <w:szCs w:val="24"/>
        </w:rPr>
        <w:t>n automatic</w:t>
      </w:r>
      <w:r w:rsidRPr="007A06E2">
        <w:rPr>
          <w:rFonts w:ascii="Georgia" w:hAnsi="Georgia"/>
          <w:color w:val="000000" w:themeColor="text1"/>
          <w:sz w:val="24"/>
          <w:szCs w:val="24"/>
        </w:rPr>
        <w:t xml:space="preserve"> syntax checker </w:t>
      </w:r>
      <w:r w:rsidR="00F06E57" w:rsidRPr="007A06E2">
        <w:rPr>
          <w:rFonts w:ascii="Georgia" w:hAnsi="Georgia"/>
          <w:color w:val="000000" w:themeColor="text1"/>
          <w:sz w:val="24"/>
          <w:szCs w:val="24"/>
        </w:rPr>
        <w:t>ensure</w:t>
      </w:r>
      <w:r w:rsidR="00485933" w:rsidRPr="007A06E2">
        <w:rPr>
          <w:rFonts w:ascii="Georgia" w:hAnsi="Georgia"/>
          <w:color w:val="000000" w:themeColor="text1"/>
          <w:sz w:val="24"/>
          <w:szCs w:val="24"/>
        </w:rPr>
        <w:t>s</w:t>
      </w:r>
      <w:r w:rsidR="00F06E57" w:rsidRPr="007A06E2">
        <w:rPr>
          <w:rFonts w:ascii="Georgia" w:hAnsi="Georgia"/>
          <w:color w:val="000000" w:themeColor="text1"/>
          <w:sz w:val="24"/>
          <w:szCs w:val="24"/>
        </w:rPr>
        <w:t xml:space="preserve"> </w:t>
      </w:r>
      <w:r w:rsidRPr="007A06E2">
        <w:rPr>
          <w:rFonts w:ascii="Georgia" w:hAnsi="Georgia"/>
          <w:color w:val="000000" w:themeColor="text1"/>
          <w:sz w:val="24"/>
          <w:szCs w:val="24"/>
        </w:rPr>
        <w:t xml:space="preserve">that application inputs </w:t>
      </w:r>
      <w:r w:rsidR="00D5371B" w:rsidRPr="007A06E2">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1F7BDF" w:rsidP="00F12253">
      <w:pPr>
        <w:spacing w:before="120"/>
        <w:jc w:val="center"/>
        <w:rPr>
          <w:rFonts w:ascii="Georgia" w:hAnsi="Georgia"/>
          <w:sz w:val="24"/>
          <w:szCs w:val="24"/>
        </w:rPr>
      </w:pPr>
      <w:r w:rsidRPr="00CE7533">
        <w:rPr>
          <w:rFonts w:ascii="Georgia" w:hAnsi="Georgia"/>
          <w:sz w:val="24"/>
          <w:szCs w:val="24"/>
        </w:rPr>
        <w:pict>
          <v:shape id="Picture 1" o:spid="_x0000_i1028" type="#_x0000_t75" alt="workflow-opaque.png" style="width:468pt;height:297.75pt;visibility:visible;mso-wrap-style:square">
            <v:imagedata r:id="rId20"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1F7BDF" w:rsidP="003D0D84">
      <w:pPr>
        <w:spacing w:before="120"/>
        <w:jc w:val="center"/>
        <w:rPr>
          <w:rFonts w:ascii="Georgia" w:hAnsi="Georgia"/>
          <w:sz w:val="24"/>
          <w:szCs w:val="24"/>
        </w:rPr>
      </w:pPr>
      <w:r w:rsidRPr="00CE7533">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21"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2"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CE7533">
        <w:rPr>
          <w:rFonts w:ascii="Georgia" w:hAnsi="Georgia"/>
          <w:sz w:val="24"/>
          <w:szCs w:val="24"/>
        </w:rPr>
        <w:fldChar w:fldCharType="separate"/>
      </w:r>
      <w:r w:rsidR="00E75349">
        <w:rPr>
          <w:rFonts w:ascii="Georgia" w:hAnsi="Georgia"/>
          <w:sz w:val="24"/>
          <w:szCs w:val="24"/>
        </w:rPr>
        <w:t>(46)</w:t>
      </w:r>
      <w:r w:rsidR="00CE7533">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CE7533">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E75349">
        <w:rPr>
          <w:rFonts w:ascii="Georgia" w:hAnsi="Georgia"/>
          <w:sz w:val="24"/>
          <w:szCs w:val="24"/>
        </w:rPr>
        <w:instrText xml:space="preserve"> ADDIN EN.CITE </w:instrText>
      </w:r>
      <w:r w:rsidR="00E75349">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E75349">
        <w:rPr>
          <w:rFonts w:ascii="Georgia" w:hAnsi="Georgia"/>
          <w:sz w:val="24"/>
          <w:szCs w:val="24"/>
        </w:rPr>
        <w:instrText xml:space="preserve"> ADDIN EN.CITE.DATA </w:instrText>
      </w:r>
      <w:r w:rsidR="00E75349">
        <w:rPr>
          <w:rFonts w:ascii="Georgia" w:hAnsi="Georgia"/>
          <w:sz w:val="24"/>
          <w:szCs w:val="24"/>
        </w:rPr>
      </w:r>
      <w:r w:rsidR="00E75349">
        <w:rPr>
          <w:rFonts w:ascii="Georgia" w:hAnsi="Georgia"/>
          <w:sz w:val="24"/>
          <w:szCs w:val="24"/>
        </w:rPr>
        <w:fldChar w:fldCharType="end"/>
      </w:r>
      <w:r w:rsidR="00CE7533">
        <w:rPr>
          <w:rFonts w:ascii="Georgia" w:hAnsi="Georgia"/>
          <w:sz w:val="24"/>
          <w:szCs w:val="24"/>
        </w:rPr>
        <w:fldChar w:fldCharType="separate"/>
      </w:r>
      <w:r w:rsidR="00E75349">
        <w:rPr>
          <w:rFonts w:ascii="Georgia" w:hAnsi="Georgia"/>
          <w:sz w:val="24"/>
          <w:szCs w:val="24"/>
        </w:rPr>
        <w:t>(47)</w:t>
      </w:r>
      <w:r w:rsidR="00CE7533">
        <w:rPr>
          <w:rFonts w:ascii="Georgia" w:hAnsi="Georgia"/>
          <w:sz w:val="24"/>
          <w:szCs w:val="24"/>
        </w:rPr>
        <w:fldChar w:fldCharType="end"/>
      </w:r>
      <w:r w:rsidR="00A0328A" w:rsidRPr="00554FBC">
        <w:rPr>
          <w:rFonts w:ascii="Georgia" w:hAnsi="Georgia"/>
          <w:sz w:val="24"/>
          <w:szCs w:val="24"/>
        </w:rPr>
        <w:t xml:space="preserve"> and Pegasys </w:t>
      </w:r>
      <w:r w:rsidR="00CE7533">
        <w:rPr>
          <w:rFonts w:ascii="Georgia" w:hAnsi="Georgia"/>
          <w:sz w:val="24"/>
          <w:szCs w:val="24"/>
        </w:rPr>
        <w:fldChar w:fldCharType="begin"/>
      </w:r>
      <w:r w:rsidR="00E75349">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CE7533">
        <w:rPr>
          <w:rFonts w:ascii="Georgia" w:hAnsi="Georgia"/>
          <w:sz w:val="24"/>
          <w:szCs w:val="24"/>
        </w:rPr>
        <w:fldChar w:fldCharType="separate"/>
      </w:r>
      <w:r w:rsidR="00E75349">
        <w:rPr>
          <w:rFonts w:ascii="Georgia" w:hAnsi="Georgia"/>
          <w:sz w:val="24"/>
          <w:szCs w:val="24"/>
        </w:rPr>
        <w:t>(46)</w:t>
      </w:r>
      <w:r w:rsidR="00CE7533">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C003C9" w:rsidRPr="000B4C60" w:rsidRDefault="00C003C9" w:rsidP="00A77DE6">
      <w:pPr>
        <w:spacing w:before="120"/>
        <w:rPr>
          <w:rFonts w:ascii="Georgia" w:hAnsi="Georgia"/>
          <w:sz w:val="28"/>
          <w:szCs w:val="28"/>
        </w:rPr>
      </w:pPr>
      <w:r>
        <w:rPr>
          <w:rFonts w:ascii="Georgia" w:hAnsi="Georgia"/>
          <w:sz w:val="28"/>
          <w:szCs w:val="28"/>
        </w:rPr>
        <w:t>$100,000 in total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CF6D60" w:rsidRDefault="00CF6D60" w:rsidP="000B4C60">
      <w:pPr>
        <w:spacing w:before="120"/>
        <w:ind w:firstLine="720"/>
        <w:rPr>
          <w:rFonts w:ascii="Georgia" w:hAnsi="Georgia"/>
          <w:sz w:val="28"/>
          <w:szCs w:val="28"/>
        </w:rPr>
      </w:pPr>
    </w:p>
    <w:p w:rsidR="00CF6D60" w:rsidRPr="00785138" w:rsidRDefault="00CF6D60" w:rsidP="00CF6D60">
      <w:pPr>
        <w:spacing w:before="120"/>
        <w:ind w:firstLine="720"/>
        <w:rPr>
          <w:rFonts w:ascii="Georgia" w:hAnsi="Georgia"/>
          <w:color w:val="FF0000"/>
          <w:sz w:val="28"/>
          <w:szCs w:val="28"/>
        </w:rPr>
      </w:pPr>
      <w:r w:rsidRPr="00785138">
        <w:rPr>
          <w:rFonts w:ascii="Georgia" w:hAnsi="Georgia"/>
          <w:color w:val="FF0000"/>
          <w:sz w:val="28"/>
          <w:szCs w:val="28"/>
        </w:rPr>
        <w:t xml:space="preserve">To support this project a hardware configuration of a small scale dedicated cluster is being proposed.  This cluster will be composed of eight (8) nodes.  Each node will cost approximately $2500.  Small scale shared storage will also be required.  This storage will cost roughly $3,000 for three (3) TB of storage.  This brings the total cost of this cluster to $23,000.  </w:t>
      </w:r>
    </w:p>
    <w:p w:rsidR="00CF6D60" w:rsidRPr="00785138" w:rsidRDefault="00CF6D60" w:rsidP="00CF6D60">
      <w:pPr>
        <w:spacing w:before="120"/>
        <w:ind w:firstLine="720"/>
        <w:rPr>
          <w:rFonts w:ascii="Georgia" w:hAnsi="Georgia"/>
          <w:color w:val="FF0000"/>
          <w:sz w:val="28"/>
          <w:szCs w:val="28"/>
        </w:rPr>
      </w:pPr>
      <w:r w:rsidRPr="00785138">
        <w:rPr>
          <w:rFonts w:ascii="Georgia" w:hAnsi="Georgia"/>
          <w:color w:val="FF0000"/>
          <w:sz w:val="28"/>
          <w:szCs w:val="28"/>
        </w:rPr>
        <w:t xml:space="preserve">A development and production front end server is also recommended for the presentation of AQWA.  Each of these servers will cost c. $3,000 bringing the total cost to $29,900.  </w:t>
      </w:r>
    </w:p>
    <w:p w:rsidR="00CF6D60" w:rsidRPr="00785138" w:rsidRDefault="00CF6D60" w:rsidP="00CF6D60">
      <w:pPr>
        <w:spacing w:before="120"/>
        <w:ind w:firstLine="720"/>
        <w:rPr>
          <w:rFonts w:ascii="Georgia" w:hAnsi="Georgia"/>
          <w:color w:val="FF0000"/>
          <w:sz w:val="28"/>
          <w:szCs w:val="28"/>
        </w:rPr>
      </w:pPr>
      <w:r w:rsidRPr="00785138">
        <w:rPr>
          <w:rFonts w:ascii="Georgia" w:hAnsi="Georgia"/>
          <w:color w:val="FF0000"/>
          <w:sz w:val="28"/>
          <w:szCs w:val="28"/>
        </w:rPr>
        <w:t>Finally development of clustered programs and web services on the existing UM HPC grid will involve a minimal cost of $XXXXX (We need to discuss what the proposed budget is and fit this figure in there).</w:t>
      </w:r>
      <w:r>
        <w:rPr>
          <w:rFonts w:ascii="Georgia" w:hAnsi="Georgia"/>
          <w:color w:val="FF0000"/>
          <w:sz w:val="28"/>
          <w:szCs w:val="28"/>
        </w:rPr>
        <w:t xml:space="preserve"> </w:t>
      </w:r>
    </w:p>
    <w:p w:rsidR="000B4C60" w:rsidRPr="000B4C60" w:rsidRDefault="000B4C60" w:rsidP="007A06E2">
      <w:pPr>
        <w:spacing w:before="1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r w:rsidR="00FF6F21">
        <w:rPr>
          <w:rFonts w:ascii="Georgia" w:hAnsi="Georgia"/>
          <w:color w:val="548DD4" w:themeColor="text2" w:themeTint="99"/>
        </w:rPr>
        <w:t xml:space="preserve"> </w:t>
      </w: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A3013B">
        <w:rPr>
          <w:rFonts w:ascii="Georgia" w:hAnsi="Georgia"/>
          <w:sz w:val="24"/>
          <w:szCs w:val="24"/>
        </w:rPr>
        <w:t xml:space="preserve"> (Figure 6)</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CE7533" w:rsidRPr="002D5A21">
        <w:rPr>
          <w:rFonts w:ascii="Georgia" w:hAnsi="Georgia"/>
          <w:sz w:val="24"/>
          <w:szCs w:val="24"/>
        </w:rPr>
        <w:fldChar w:fldCharType="begin"/>
      </w:r>
      <w:r w:rsidR="00E75349">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CE7533" w:rsidRPr="002D5A21">
        <w:rPr>
          <w:rFonts w:ascii="Georgia" w:hAnsi="Georgia"/>
          <w:sz w:val="24"/>
          <w:szCs w:val="24"/>
        </w:rPr>
        <w:fldChar w:fldCharType="separate"/>
      </w:r>
      <w:r w:rsidR="00E75349">
        <w:rPr>
          <w:rFonts w:ascii="Georgia" w:hAnsi="Georgia"/>
          <w:sz w:val="24"/>
          <w:szCs w:val="24"/>
        </w:rPr>
        <w:t>(48)</w:t>
      </w:r>
      <w:r w:rsidR="00CE7533"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00A3013B">
        <w:rPr>
          <w:rFonts w:ascii="Georgia" w:hAnsi="Georgia"/>
          <w:sz w:val="24"/>
          <w:szCs w:val="24"/>
        </w:rPr>
        <w:t xml:space="preserve"> The </w:t>
      </w:r>
      <w:r w:rsidR="002D5A21" w:rsidRPr="002D5A21">
        <w:rPr>
          <w:rFonts w:ascii="Georgia" w:hAnsi="Georgia"/>
          <w:sz w:val="24"/>
          <w:szCs w:val="24"/>
        </w:rPr>
        <w:t xml:space="preserve">alpha version will </w:t>
      </w:r>
      <w:r w:rsidR="00A3013B">
        <w:rPr>
          <w:rFonts w:ascii="Georgia" w:hAnsi="Georgia"/>
          <w:sz w:val="24"/>
          <w:szCs w:val="24"/>
        </w:rPr>
        <w:t>be used by a selected group of ‘power users’ within the University of Miami and the source code will be freely available for academic users</w:t>
      </w:r>
      <w:r w:rsidR="002D5A21" w:rsidRPr="002D5A21">
        <w:rPr>
          <w:rFonts w:ascii="Georgia" w:hAnsi="Georgia"/>
          <w:sz w:val="24"/>
          <w:szCs w:val="24"/>
        </w:rPr>
        <w:t xml:space="preserve">. </w:t>
      </w:r>
      <w:r w:rsidR="00A3013B">
        <w:rPr>
          <w:rFonts w:ascii="Georgia" w:hAnsi="Georgia"/>
          <w:sz w:val="24"/>
          <w:szCs w:val="24"/>
        </w:rPr>
        <w:t>For the beta release, the user group will be expanded to all NextGen data users within the University of Miami and registered external users. E</w:t>
      </w:r>
      <w:r w:rsidR="002D5A21" w:rsidRPr="002D5A21">
        <w:rPr>
          <w:rFonts w:ascii="Georgia" w:hAnsi="Georgia"/>
          <w:sz w:val="24"/>
          <w:szCs w:val="24"/>
        </w:rPr>
        <w:t xml:space="preserve">xtensive user </w:t>
      </w:r>
      <w:r w:rsidR="002D5A21" w:rsidRPr="002D5A21">
        <w:rPr>
          <w:rFonts w:ascii="Georgia" w:hAnsi="Georgia"/>
          <w:sz w:val="24"/>
          <w:szCs w:val="24"/>
        </w:rPr>
        <w:lastRenderedPageBreak/>
        <w:t xml:space="preserve">testing will be carried out </w:t>
      </w:r>
      <w:r w:rsidR="00A3013B">
        <w:rPr>
          <w:rFonts w:ascii="Georgia" w:hAnsi="Georgia"/>
          <w:sz w:val="24"/>
          <w:szCs w:val="24"/>
        </w:rPr>
        <w:t xml:space="preserve">at regular intervals </w:t>
      </w:r>
      <w:r w:rsidR="002D5A21" w:rsidRPr="002D5A21">
        <w:rPr>
          <w:rFonts w:ascii="Georgia" w:hAnsi="Georgia"/>
          <w:sz w:val="24"/>
          <w:szCs w:val="24"/>
        </w:rPr>
        <w:t xml:space="preserve">and the results of the tests will be used to inform any additions </w:t>
      </w:r>
      <w:r w:rsidR="00A3013B">
        <w:rPr>
          <w:rFonts w:ascii="Georgia" w:hAnsi="Georgia"/>
          <w:sz w:val="24"/>
          <w:szCs w:val="24"/>
        </w:rPr>
        <w:t xml:space="preserve">or changes </w:t>
      </w:r>
      <w:r w:rsidR="002D5A21" w:rsidRPr="002D5A21">
        <w:rPr>
          <w:rFonts w:ascii="Georgia" w:hAnsi="Georgia"/>
          <w:sz w:val="24"/>
          <w:szCs w:val="24"/>
        </w:rPr>
        <w:t xml:space="preserve">to the </w:t>
      </w:r>
      <w:r w:rsidR="00A3013B">
        <w:rPr>
          <w:rFonts w:ascii="Georgia" w:hAnsi="Georgia"/>
          <w:sz w:val="24"/>
          <w:szCs w:val="24"/>
        </w:rPr>
        <w:t xml:space="preserve">system’s functional </w:t>
      </w:r>
      <w:r w:rsidR="002D5A21" w:rsidRPr="002D5A21">
        <w:rPr>
          <w:rFonts w:ascii="Georgia" w:hAnsi="Georgia"/>
          <w:sz w:val="24"/>
          <w:szCs w:val="24"/>
        </w:rPr>
        <w:t>requirements</w:t>
      </w:r>
      <w:r w:rsidR="002D5A21">
        <w:rPr>
          <w:rFonts w:ascii="Georgia" w:hAnsi="Georgia"/>
          <w:sz w:val="24"/>
          <w:szCs w:val="24"/>
        </w:rPr>
        <w:t>.</w:t>
      </w:r>
    </w:p>
    <w:p w:rsidR="002D5A21" w:rsidRDefault="002D5A21" w:rsidP="00E0312E">
      <w:pPr>
        <w:spacing w:before="120"/>
        <w:rPr>
          <w:rFonts w:ascii="Georgia" w:hAnsi="Georgia"/>
          <w:sz w:val="24"/>
          <w:szCs w:val="24"/>
        </w:rPr>
      </w:pPr>
    </w:p>
    <w:p w:rsidR="00ED2EB1" w:rsidRDefault="001F7BDF" w:rsidP="00ED2EB1">
      <w:r w:rsidRPr="00CE7533">
        <w:rPr>
          <w:szCs w:val="24"/>
        </w:rPr>
        <w:pict>
          <v:shape id="_x0000_i1030" type="#_x0000_t75" style="width:540pt;height:305.25pt">
            <v:imagedata r:id="rId23" o:title=""/>
          </v:shape>
        </w:pict>
      </w:r>
    </w:p>
    <w:p w:rsidR="00ED2EB1" w:rsidRPr="00E97263" w:rsidRDefault="00A3013B" w:rsidP="00A3013B">
      <w:pPr>
        <w:jc w:val="center"/>
        <w:rPr>
          <w:rFonts w:ascii="Georgia" w:hAnsi="Georgia"/>
        </w:rPr>
      </w:pPr>
      <w:r w:rsidRPr="00E97263">
        <w:rPr>
          <w:rFonts w:ascii="Georgia" w:hAnsi="Georgia"/>
        </w:rPr>
        <w:t>Figure 6. Project timeline and milestones. Following a 3-month project Inception stage (currently underway), user testing will take place at regular intervals during the Elaboration</w:t>
      </w:r>
      <w:r w:rsidR="00140E51">
        <w:rPr>
          <w:rFonts w:ascii="Georgia" w:hAnsi="Georgia"/>
        </w:rPr>
        <w:t xml:space="preserve">, </w:t>
      </w:r>
      <w:r w:rsidRPr="00E97263">
        <w:rPr>
          <w:rFonts w:ascii="Georgia" w:hAnsi="Georgia"/>
        </w:rPr>
        <w:t>Construction and Transition stage</w:t>
      </w:r>
      <w:r w:rsidR="00140E51">
        <w:rPr>
          <w:rFonts w:ascii="Georgia" w:hAnsi="Georgia"/>
        </w:rPr>
        <w:t>s</w:t>
      </w:r>
      <w:r w:rsidRPr="00E97263">
        <w:rPr>
          <w:rFonts w:ascii="Georgia" w:hAnsi="Georgia"/>
        </w:rPr>
        <w:t>.</w:t>
      </w:r>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E75349" w:rsidRPr="00E75349" w:rsidRDefault="00CE7533" w:rsidP="00E75349">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E75349" w:rsidRPr="00E75349">
        <w:t>1.</w:t>
      </w:r>
      <w:r w:rsidR="00E75349" w:rsidRPr="00E75349">
        <w:tab/>
        <w:t xml:space="preserve">NHGRI. NHGRI Seeks DNA Sequencing Technologies Fit for Routine Laboratory and Medical Use. 2008 [updated 2008; cited]; Available from: </w:t>
      </w:r>
      <w:hyperlink r:id="rId28" w:history="1">
        <w:r w:rsidR="00E75349" w:rsidRPr="00E75349">
          <w:rPr>
            <w:rStyle w:val="Hyperlink"/>
          </w:rPr>
          <w:t>http://www.genome.gov/27527585</w:t>
        </w:r>
      </w:hyperlink>
      <w:r w:rsidR="00E75349" w:rsidRPr="00E75349">
        <w:t>.</w:t>
      </w:r>
    </w:p>
    <w:p w:rsidR="00E75349" w:rsidRPr="00E75349" w:rsidRDefault="00E75349" w:rsidP="00E75349">
      <w:r w:rsidRPr="00E75349">
        <w:t>2.</w:t>
      </w:r>
      <w:r w:rsidRPr="00E75349">
        <w:tab/>
        <w:t>Mardis ER. Next-Generation DNA Sequencing Methods. Annual Review of Genomics and Human Genetics. 2008;9(1):387-402.</w:t>
      </w:r>
    </w:p>
    <w:p w:rsidR="00E75349" w:rsidRPr="00E75349" w:rsidRDefault="00E75349" w:rsidP="00E75349">
      <w:r w:rsidRPr="00E75349">
        <w:t>3.</w:t>
      </w:r>
      <w:r w:rsidRPr="00E75349">
        <w:tab/>
        <w:t>Schuster SC. Next-generation sequencing transforms today's biology. Nat Meth. 2008;5(1):16-8.</w:t>
      </w:r>
    </w:p>
    <w:p w:rsidR="00E75349" w:rsidRPr="00E75349" w:rsidRDefault="00E75349" w:rsidP="00E75349">
      <w:r w:rsidRPr="00E75349">
        <w:t>4.</w:t>
      </w:r>
      <w:r w:rsidRPr="00E75349">
        <w:tab/>
        <w:t>Bennett S. Solexa Ltd. Pharmacogenomics. 2004;5(4):433-8.</w:t>
      </w:r>
    </w:p>
    <w:p w:rsidR="00E75349" w:rsidRPr="00E75349" w:rsidRDefault="00E75349" w:rsidP="00E75349">
      <w:r w:rsidRPr="00E75349">
        <w:t>5.</w:t>
      </w:r>
      <w:r w:rsidRPr="00E75349">
        <w:tab/>
        <w:t>Margulies M, Egholm M, Altman WE, Attiya S, Bader JS, Bemben LA, et al. Genome sequencing in microfabricated high-density picolitre reactors. Nature. 2005;437(7057):376-80.</w:t>
      </w:r>
    </w:p>
    <w:p w:rsidR="00E75349" w:rsidRPr="00E75349" w:rsidRDefault="00E75349" w:rsidP="00E75349">
      <w:r w:rsidRPr="00E75349">
        <w:t>6.</w:t>
      </w:r>
      <w:r w:rsidRPr="00E75349">
        <w:tab/>
        <w:t>Shendure J, Porreca GJ, Reppas NB, Lin X, McCutcheon JP, Rosenbaum AM, et al. Accurate Multiplex Polony Sequencing of an Evolved Bacterial Genome. Science. 2005;309(5741):1728-32.</w:t>
      </w:r>
    </w:p>
    <w:p w:rsidR="00E75349" w:rsidRPr="00E75349" w:rsidRDefault="00E75349" w:rsidP="00E75349">
      <w:r w:rsidRPr="00E75349">
        <w:t>7.</w:t>
      </w:r>
      <w:r w:rsidRPr="00E75349">
        <w:tab/>
        <w:t>Chevreux B, Pfisterer T, Drescher B, Driesel AJ, Müller WEG, Wetter T, et al. Using the miraEST Assembler for Reliable and Automated mRNA Transcript Assembly and SNP Detection in Sequenced ESTs. Genome Res. 2004;14:1147-59.</w:t>
      </w:r>
    </w:p>
    <w:p w:rsidR="00E75349" w:rsidRPr="00E75349" w:rsidRDefault="00E75349" w:rsidP="00E75349">
      <w:r w:rsidRPr="00E75349">
        <w:t>8.</w:t>
      </w:r>
      <w:r w:rsidRPr="00E75349">
        <w:tab/>
        <w:t xml:space="preserve">Li H, Durbin R. MAQ: Mapping and Assembly with Qualities. 2007 [updated 2007; cited 2008 November 11th]; Available from: </w:t>
      </w:r>
      <w:hyperlink r:id="rId29" w:history="1">
        <w:r w:rsidRPr="00E75349">
          <w:rPr>
            <w:rStyle w:val="Hyperlink"/>
          </w:rPr>
          <w:t>http://maq.sourceforge.net/</w:t>
        </w:r>
      </w:hyperlink>
      <w:r w:rsidRPr="00E75349">
        <w:t>.</w:t>
      </w:r>
    </w:p>
    <w:p w:rsidR="00E75349" w:rsidRPr="00E75349" w:rsidRDefault="00E75349" w:rsidP="00E75349">
      <w:r w:rsidRPr="00E75349">
        <w:t>9.</w:t>
      </w:r>
      <w:r w:rsidRPr="00E75349">
        <w:tab/>
        <w:t>Li H, Ruan J, Durbin R. Mapping short DNA sequencing reads and calling variants using mapping quality scores. Genome Res. 2008;18(11):1851-8. PMCID: 2577856.</w:t>
      </w:r>
    </w:p>
    <w:p w:rsidR="00E75349" w:rsidRPr="00E75349" w:rsidRDefault="00E75349" w:rsidP="00E75349">
      <w:r w:rsidRPr="00E75349">
        <w:t>10.</w:t>
      </w:r>
      <w:r w:rsidRPr="00E75349">
        <w:tab/>
        <w:t>Hernandez D, Francois P, Farinelli L, Osteras M, Schrenzel J. De novo bacterial genome sequencing: millions of very short reads assembled on a desktop computer. Genome Res. 2008;18(5):802-9. PMCID: 2336802.</w:t>
      </w:r>
    </w:p>
    <w:p w:rsidR="00E75349" w:rsidRPr="00E75349" w:rsidRDefault="00E75349" w:rsidP="00E75349">
      <w:r w:rsidRPr="00E75349">
        <w:t>11.</w:t>
      </w:r>
      <w:r w:rsidRPr="00E75349">
        <w:tab/>
        <w:t>Chaisson MJ, Pevzner PA. Short read fragment assembly of bacterial genomes. Genome Res. 2008;18(2):324-30. PMCID: 2203630.</w:t>
      </w:r>
    </w:p>
    <w:p w:rsidR="00E75349" w:rsidRPr="00E75349" w:rsidRDefault="00E75349" w:rsidP="00E75349">
      <w:r w:rsidRPr="00E75349">
        <w:t>12.</w:t>
      </w:r>
      <w:r w:rsidRPr="00E75349">
        <w:tab/>
        <w:t>Dohm JC, Lottaz C, Borodina T, Himmelbauer H. SHARCGS, a fast and highly accurate short-read assembly algorithm for de novo genomic sequencing. Genome Res. 2007;17(11):1697-706. PMCID: 2045152.</w:t>
      </w:r>
    </w:p>
    <w:p w:rsidR="00E75349" w:rsidRPr="00E75349" w:rsidRDefault="00E75349" w:rsidP="00E75349">
      <w:r w:rsidRPr="00E75349">
        <w:t>13.</w:t>
      </w:r>
      <w:r w:rsidRPr="00E75349">
        <w:tab/>
        <w:t>Warren RL, Sutton GG, Jones SJ, Holt RA. Assembling millions of short DNA sequences using SSAKE. Bioinformatics. 2007;23(4):500-1.</w:t>
      </w:r>
    </w:p>
    <w:p w:rsidR="00E75349" w:rsidRPr="00E75349" w:rsidRDefault="00E75349" w:rsidP="00E75349">
      <w:r w:rsidRPr="00E75349">
        <w:t>14.</w:t>
      </w:r>
      <w:r w:rsidRPr="00E75349">
        <w:tab/>
        <w:t>Zerbino DR, Birney E. Velvet: Algorithms for de novo short read assembly using de Bruijn graphs. Genome Res. 2008;18:821-9.</w:t>
      </w:r>
    </w:p>
    <w:p w:rsidR="00E75349" w:rsidRPr="00E75349" w:rsidRDefault="00E75349" w:rsidP="00E75349">
      <w:r w:rsidRPr="00E75349">
        <w:t>15.</w:t>
      </w:r>
      <w:r w:rsidRPr="00E75349">
        <w:tab/>
        <w:t>'t Hoen PAC, Ariyurek Y, Thygesen HH, Vreugdenhil E, Vossen RHAM, de Menezes RX, et al. Deep sequencing-based expression analysis shows major advances in robustness, resolution and inter-lab portability over five microarray platforms. Nucl Acids Res. 2008;36(21):e141-.</w:t>
      </w:r>
    </w:p>
    <w:p w:rsidR="00E75349" w:rsidRPr="00E75349" w:rsidRDefault="00E75349" w:rsidP="00E75349">
      <w:r w:rsidRPr="00E75349">
        <w:t>16.</w:t>
      </w:r>
      <w:r w:rsidRPr="00E75349">
        <w:tab/>
        <w:t>Nagalakshmi U, Wang Z, Waern K, Shou C, Raha D, Gerstein M, et al. The Transcriptional Landscape of the Yeast Genome Defined by RNA Sequencing. Science. 2008;320(5881):1344-9.</w:t>
      </w:r>
    </w:p>
    <w:p w:rsidR="00E75349" w:rsidRPr="00E75349" w:rsidRDefault="00E75349" w:rsidP="00E75349">
      <w:r w:rsidRPr="00E75349">
        <w:lastRenderedPageBreak/>
        <w:t>17.</w:t>
      </w:r>
      <w:r w:rsidRPr="00E75349">
        <w:tab/>
        <w:t>Mortazavi A, Williams BA, McCue K, Schaeffer L, Wold B. Mapping and quantifying mammalian transcriptomes by RNA-Seq. Nat Methods. 2008;5(7):621-8.</w:t>
      </w:r>
    </w:p>
    <w:p w:rsidR="00E75349" w:rsidRPr="00E75349" w:rsidRDefault="00E75349" w:rsidP="00E75349">
      <w:r w:rsidRPr="00E75349">
        <w:t>18.</w:t>
      </w:r>
      <w:r w:rsidRPr="00E75349">
        <w:tab/>
        <w:t>Wang C, Mitsuya Y, Gharizadeh B, Ronaghi M, Shafer RW. Characterization of mutation spectra with ultra-deep pyrosequencing: application to HIV-1 drug resistance. Genome Res. 2007;17(8):1195-201. PMCID: 1933516.</w:t>
      </w:r>
    </w:p>
    <w:p w:rsidR="00E75349" w:rsidRPr="00E75349" w:rsidRDefault="00E75349" w:rsidP="00E75349">
      <w:r w:rsidRPr="00E75349">
        <w:t>19.</w:t>
      </w:r>
      <w:r w:rsidRPr="00E75349">
        <w:tab/>
        <w:t>Hillier LW, Marth GT, Quinlan AR, Dooling D, Fewell G, Barnett D, et al. Whole-genome sequencing and variant discovery in C. elegans. Nat Meth. 2008;5(2):183-8.</w:t>
      </w:r>
    </w:p>
    <w:p w:rsidR="00E75349" w:rsidRPr="00E75349" w:rsidRDefault="00E75349" w:rsidP="00E75349">
      <w:r w:rsidRPr="00E75349">
        <w:t>20.</w:t>
      </w:r>
      <w:r w:rsidRPr="00E75349">
        <w:tab/>
        <w:t>Barbazuk WB, Emrich SJ, Chen HD, Li L, Schnable PS. SNP discovery via 454 transcriptome sequencing. Plant J. 2007;51(5):910-8. PMCID: 2169515.</w:t>
      </w:r>
    </w:p>
    <w:p w:rsidR="00E75349" w:rsidRPr="00E75349" w:rsidRDefault="00E75349" w:rsidP="00E75349">
      <w:r w:rsidRPr="00E75349">
        <w:t>21.</w:t>
      </w:r>
      <w:r w:rsidRPr="00E75349">
        <w:tab/>
        <w:t>Marth GT, Korf I, Yandell MD, Yeh RT, Gu Z, Zakeri H, et al. A general approach to single-nucleotide polymorphism discovery. Nat Genet. 1999;23(4):452-6.</w:t>
      </w:r>
    </w:p>
    <w:p w:rsidR="00E75349" w:rsidRPr="00E75349" w:rsidRDefault="00E75349" w:rsidP="00E75349">
      <w:r w:rsidRPr="00E75349">
        <w:t>22.</w:t>
      </w:r>
      <w:r w:rsidRPr="00E75349">
        <w:tab/>
        <w:t>Kidd JM, Cooper GM, Donahue WF, Hayden HS, Sampas N, Graves T, et al. Mapping and sequencing of structural variation from eight human genomes. Nature. 2008;453(7191):56-64. PMCID: 2424287.</w:t>
      </w:r>
    </w:p>
    <w:p w:rsidR="00E75349" w:rsidRPr="00E75349" w:rsidRDefault="00E75349" w:rsidP="00E75349">
      <w:r w:rsidRPr="00E75349">
        <w:t>23.</w:t>
      </w:r>
      <w:r w:rsidRPr="00E75349">
        <w:tab/>
        <w:t>Campbell PJ, Stephens PJ, Pleasance ED, O'Meara S, Li H, Santarius T, et al. Identification of somatically acquired rearrangements in cancer using genome-wide massively parallel paired-end sequencing. Nat Genet. 2008;40(6):722-9.</w:t>
      </w:r>
    </w:p>
    <w:p w:rsidR="00E75349" w:rsidRPr="00E75349" w:rsidRDefault="00E75349" w:rsidP="00E75349">
      <w:r w:rsidRPr="00E75349">
        <w:t>24.</w:t>
      </w:r>
      <w:r w:rsidRPr="00E75349">
        <w:tab/>
        <w:t>Sebat J, Lakshmi B, Troge J, Alexander J, Young J, Lundin P, et al. Large-scale copy number polymorphism in the human genome. Science. 2004;305(5683):525-8.</w:t>
      </w:r>
    </w:p>
    <w:p w:rsidR="00E75349" w:rsidRPr="00E75349" w:rsidRDefault="00E75349" w:rsidP="00E75349">
      <w:r w:rsidRPr="00E75349">
        <w:t>25.</w:t>
      </w:r>
      <w:r w:rsidRPr="00E75349">
        <w:tab/>
        <w:t>Iafrate AJ, Feuk L, Rivera MN, Listewnik ML, Donahoe PK, Qi Y, et al. Detection of large-scale variation in the human genome. Nat Genet. 2004;36(9):949-51.</w:t>
      </w:r>
    </w:p>
    <w:p w:rsidR="00E75349" w:rsidRPr="00E75349" w:rsidRDefault="00E75349" w:rsidP="00E75349">
      <w:r w:rsidRPr="00E75349">
        <w:t>26.</w:t>
      </w:r>
      <w:r w:rsidRPr="00E75349">
        <w:tab/>
        <w:t>Cooper GM, Nickerson DA, Eichler EE. Mutational and selective effects on copy-number variants in the human genome. Nat Genet. 2007;39(7 Suppl):S22-9.</w:t>
      </w:r>
    </w:p>
    <w:p w:rsidR="00E75349" w:rsidRPr="00E75349" w:rsidRDefault="00E75349" w:rsidP="00E75349">
      <w:r w:rsidRPr="00E75349">
        <w:t>27.</w:t>
      </w:r>
      <w:r w:rsidRPr="00E75349">
        <w:tab/>
        <w:t>Chiang DY, Getz G, Jaffe DB, O'Kelly MJ, Zhao X, Carter SL, et al. High-resolution mapping of copy-number alterations with massively parallel sequencing. Nat Methods. 2009;6(1):99-103. PMCID: 2630795.</w:t>
      </w:r>
    </w:p>
    <w:p w:rsidR="00E75349" w:rsidRPr="00E75349" w:rsidRDefault="00E75349" w:rsidP="00E75349">
      <w:r w:rsidRPr="00E75349">
        <w:t>28.</w:t>
      </w:r>
      <w:r w:rsidRPr="00E75349">
        <w:tab/>
        <w:t>Stein L. Creating a bioinformatics nation. Nature. 2002;417(6885):119-20.</w:t>
      </w:r>
    </w:p>
    <w:p w:rsidR="00E75349" w:rsidRPr="00E75349" w:rsidRDefault="00E75349" w:rsidP="00E75349">
      <w:r w:rsidRPr="00E75349">
        <w:t>29.</w:t>
      </w:r>
      <w:r w:rsidRPr="00E75349">
        <w:tab/>
        <w:t>Bare JC, Shannon PT, Schmid AK, Baliga NS. The Firegoose: two-way integration of diverse data from different bioinformatics web resources with desktop applications. BMC Bioinformatics. 2007;8:456. PMCID: 2211326.</w:t>
      </w:r>
    </w:p>
    <w:p w:rsidR="00E75349" w:rsidRPr="00E75349" w:rsidRDefault="00E75349" w:rsidP="00E75349">
      <w:r w:rsidRPr="00E75349">
        <w:t>30.</w:t>
      </w:r>
      <w:r w:rsidRPr="00E75349">
        <w:tab/>
        <w:t>Gordon PMK, Trinh Q, Sensen CW. Semantic Web Service provision: a realistic framework for Bioinformatics programmers. Bioinformatics. 2007;23(9):1178-80.</w:t>
      </w:r>
    </w:p>
    <w:p w:rsidR="00E75349" w:rsidRPr="00E75349" w:rsidRDefault="00E75349" w:rsidP="00E75349">
      <w:r w:rsidRPr="00E75349">
        <w:t>31.</w:t>
      </w:r>
      <w:r w:rsidRPr="00E75349">
        <w:tab/>
        <w:t>Oinn T, Addis M, Ferris J, Marvin D, Greenwood M, Carver T, et al. Taverna: A tool for the composition and enactment of bioinformatics workflows. Bioinformatics. 2004;20(7):3045 - 54.</w:t>
      </w:r>
    </w:p>
    <w:p w:rsidR="00E75349" w:rsidRPr="00E75349" w:rsidRDefault="00E75349" w:rsidP="00E75349">
      <w:r w:rsidRPr="00E75349">
        <w:t>32.</w:t>
      </w:r>
      <w:r w:rsidRPr="00E75349">
        <w:tab/>
        <w:t>Baker PG, Brass A, Bechhofer S, Goble C, Paton N, Stevens R. TAMBIS--Transparent Access to Multiple Bioinformatics Information Sources. Proc Int Conf Intell Syst Mol Biol. 1998;6:25-34.</w:t>
      </w:r>
    </w:p>
    <w:p w:rsidR="00E75349" w:rsidRPr="00E75349" w:rsidRDefault="00E75349" w:rsidP="00E75349">
      <w:r w:rsidRPr="00E75349">
        <w:t>33.</w:t>
      </w:r>
      <w:r w:rsidRPr="00E75349">
        <w:tab/>
        <w:t>Baker PG, Goble CA, Bechhofer S, Paton NW, Stevens R, Brass A. An ontology for bioinformatics applications. Bioinformatics. 1999;15(6):510-20.</w:t>
      </w:r>
    </w:p>
    <w:p w:rsidR="00E75349" w:rsidRPr="00E75349" w:rsidRDefault="00E75349" w:rsidP="00E75349">
      <w:r w:rsidRPr="00E75349">
        <w:t>34.</w:t>
      </w:r>
      <w:r w:rsidRPr="00E75349">
        <w:tab/>
        <w:t>Stevens R, Baker P, Bechhofer S, Ng G, Jacoby A, Paton NW, et al. TAMBIS: transparent access to multiple bioinformatics information sources. Bioinformatics. 2000;16(2):184-5.</w:t>
      </w:r>
    </w:p>
    <w:p w:rsidR="00E75349" w:rsidRPr="00E75349" w:rsidRDefault="00E75349" w:rsidP="00E75349">
      <w:r w:rsidRPr="00E75349">
        <w:t>35.</w:t>
      </w:r>
      <w:r w:rsidRPr="00E75349">
        <w:tab/>
        <w:t>Rak R, Kurgan L, Reformat M. xGENIA: A comprehensive OWL ontology based on the GENIA corpus. Bioinformation. 2007;1(9):360-2. PMCID: 1891717.</w:t>
      </w:r>
    </w:p>
    <w:p w:rsidR="00E75349" w:rsidRPr="00E75349" w:rsidRDefault="00E75349" w:rsidP="00E75349">
      <w:r w:rsidRPr="00E75349">
        <w:t>36.</w:t>
      </w:r>
      <w:r w:rsidRPr="00E75349">
        <w:tab/>
        <w:t>Karolchik D, Baertsch R, Diekhans M, Furey TS, Hinrichs A, Lu YT, et al. The UCSC Genome Browser Database. Nucleic Acids Res. 2003;31(1):51-4. PMCID: 165576.</w:t>
      </w:r>
    </w:p>
    <w:p w:rsidR="00E75349" w:rsidRPr="00E75349" w:rsidRDefault="00E75349" w:rsidP="00E75349">
      <w:r w:rsidRPr="00E75349">
        <w:t>37.</w:t>
      </w:r>
      <w:r w:rsidRPr="00E75349">
        <w:tab/>
        <w:t>Kuhn RM, Karolchik D, Zweig AS, Wang T, Smith KE, Rosenbloom KR, et al. The UCSC Genome Browser Database: update 2009. Nucleic Acids Res. 2009;37(Database issue):D755-61.</w:t>
      </w:r>
    </w:p>
    <w:p w:rsidR="00E75349" w:rsidRPr="00E75349" w:rsidRDefault="00E75349" w:rsidP="00E75349">
      <w:r w:rsidRPr="00E75349">
        <w:t>38.</w:t>
      </w:r>
      <w:r w:rsidRPr="00E75349">
        <w:tab/>
        <w:t>Stalker J, Gibbins B, Meidl P, Smith J, Spooner W, Hotz HR, et al. The Ensembl Web site: mechanics of a genome browser. Genome Res. 2004;14(5):951-5. PMCID: 479125.</w:t>
      </w:r>
    </w:p>
    <w:p w:rsidR="00E75349" w:rsidRPr="00E75349" w:rsidRDefault="00E75349" w:rsidP="00E75349">
      <w:r w:rsidRPr="00E75349">
        <w:t>39.</w:t>
      </w:r>
      <w:r w:rsidRPr="00E75349">
        <w:tab/>
        <w:t>Stein LD, Mungall C, Shu S, Caudy M, Mangone M, Day A, et al. The generic genome browser: a building block for a model organism system database. Genome Res. 2002;12(10):1599-610. PMCID: 187535.</w:t>
      </w:r>
    </w:p>
    <w:p w:rsidR="00E75349" w:rsidRPr="00E75349" w:rsidRDefault="00E75349" w:rsidP="00E75349">
      <w:r w:rsidRPr="00E75349">
        <w:t>40.</w:t>
      </w:r>
      <w:r w:rsidRPr="00E75349">
        <w:tab/>
        <w:t xml:space="preserve">Donlin MJ. Using the Generic Genome Browser (GBrowse). Curr Protoc Bioinformatics. 2007;Chapter 9:Unit 9 </w:t>
      </w:r>
    </w:p>
    <w:p w:rsidR="00E75349" w:rsidRPr="00E75349" w:rsidRDefault="00E75349" w:rsidP="00E75349">
      <w:r w:rsidRPr="00E75349">
        <w:t>41.</w:t>
      </w:r>
      <w:r w:rsidRPr="00E75349">
        <w:tab/>
        <w:t>Lewis SE, Searle SM, Harris N, Gibson M, Lyer V, Richter J, et al. Apollo: a sequence annotation editor. Genome Biol. 2002;3(12):RESEARCH0082. PMCID: 151184.</w:t>
      </w:r>
    </w:p>
    <w:p w:rsidR="00E75349" w:rsidRPr="00E75349" w:rsidRDefault="00E75349" w:rsidP="00E75349">
      <w:r w:rsidRPr="00E75349">
        <w:t>42.</w:t>
      </w:r>
      <w:r w:rsidRPr="00E75349">
        <w:tab/>
        <w:t>Misra S, Harris N. Using Apollo to browse and edit genome annotations. Curr Protoc Bioinformatics. 2006;Chapter 9:Unit 9 5.</w:t>
      </w:r>
    </w:p>
    <w:p w:rsidR="00E75349" w:rsidRPr="00E75349" w:rsidRDefault="00E75349" w:rsidP="00E75349">
      <w:r w:rsidRPr="00E75349">
        <w:t>43.</w:t>
      </w:r>
      <w:r w:rsidRPr="00E75349">
        <w:tab/>
        <w:t>Simmhan Y, Plale B, Gannon D. A survey of data provenance in e-science. SIGMOD Record. 2005;34(3):31 - 6.</w:t>
      </w:r>
    </w:p>
    <w:p w:rsidR="00E75349" w:rsidRPr="00E75349" w:rsidRDefault="00E75349" w:rsidP="00E75349">
      <w:r w:rsidRPr="00E75349">
        <w:t>44.</w:t>
      </w:r>
      <w:r w:rsidRPr="00E75349">
        <w:tab/>
        <w:t>Feagan L, Rohrer J, Garrett A, Amthauer H, Komp E, Johnson D, et al. Bioinformatics process management: information flow via a computational journal. Source Code for Biology and Medicine. 2007;2(1):9.</w:t>
      </w:r>
    </w:p>
    <w:p w:rsidR="00E75349" w:rsidRPr="00E75349" w:rsidRDefault="00E75349" w:rsidP="00E75349">
      <w:r w:rsidRPr="00E75349">
        <w:t>45.</w:t>
      </w:r>
      <w:r w:rsidRPr="00E75349">
        <w:tab/>
        <w:t>Salzberg S. Genome re-annotation: a wiki solution? Genome Biology. 2007;8(1):102.</w:t>
      </w:r>
    </w:p>
    <w:p w:rsidR="00E75349" w:rsidRPr="00E75349" w:rsidRDefault="00E75349" w:rsidP="00E75349">
      <w:r w:rsidRPr="00E75349">
        <w:t>46.</w:t>
      </w:r>
      <w:r w:rsidRPr="00E75349">
        <w:tab/>
        <w:t>Shah S, He D, Sawkins J, Druce J, Quon G, Lett D, et al. Pegasys: software for executing and integrating analyses of biological sequences. BMC Bioinformatics. 2004;5(1):40.</w:t>
      </w:r>
    </w:p>
    <w:p w:rsidR="00E75349" w:rsidRPr="00E75349" w:rsidRDefault="00E75349" w:rsidP="00E75349">
      <w:r w:rsidRPr="00E75349">
        <w:t>47.</w:t>
      </w:r>
      <w:r w:rsidRPr="00E75349">
        <w:tab/>
        <w:t>Garcia Castro A, Thoraval S, Garcia LJ, Ragan MA. Workflows in bioinformatics: meta-analysis and prototype implementation of a workflow generator. BMC Bioinformatics. 2005;6:87. PMCID: 1090554.</w:t>
      </w:r>
    </w:p>
    <w:p w:rsidR="00E75349" w:rsidRPr="00E75349" w:rsidRDefault="00E75349" w:rsidP="00E75349">
      <w:r w:rsidRPr="00E75349">
        <w:t>48.</w:t>
      </w:r>
      <w:r w:rsidRPr="00E75349">
        <w:tab/>
        <w:t>Bolchini D, Finkelstein A, Perrone V, Nagl S. Better bioinformatics through usability analysis. Bioinformatics. 2009;25(3):406-12.</w:t>
      </w:r>
    </w:p>
    <w:p w:rsidR="00E75349" w:rsidRDefault="00E75349" w:rsidP="00E75349">
      <w:pPr>
        <w:ind w:left="720" w:hanging="720"/>
      </w:pPr>
    </w:p>
    <w:p w:rsidR="001B4144" w:rsidRDefault="00CE7533" w:rsidP="003308E3">
      <w:pPr>
        <w:spacing w:before="120"/>
        <w:rPr>
          <w:rFonts w:ascii="Georgia" w:hAnsi="Georgia"/>
        </w:rPr>
      </w:pPr>
      <w:r>
        <w:rPr>
          <w:rFonts w:ascii="Georgia" w:hAnsi="Georgia"/>
        </w:rPr>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BDC" w:rsidRDefault="00C77BDC" w:rsidP="00081495">
      <w:r>
        <w:separator/>
      </w:r>
    </w:p>
  </w:endnote>
  <w:endnote w:type="continuationSeparator" w:id="1">
    <w:p w:rsidR="00C77BDC" w:rsidRDefault="00C77BDC"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Giovanni-Book">
    <w:altName w:val="Cambria"/>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1"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BDC" w:rsidRDefault="00C77BDC" w:rsidP="00081495">
      <w:r>
        <w:separator/>
      </w:r>
    </w:p>
  </w:footnote>
  <w:footnote w:type="continuationSeparator" w:id="1">
    <w:p w:rsidR="00C77BDC" w:rsidRDefault="00C77BDC"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93D"/>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0E51"/>
    <w:rsid w:val="001419E0"/>
    <w:rsid w:val="00144E64"/>
    <w:rsid w:val="001450F6"/>
    <w:rsid w:val="001465F6"/>
    <w:rsid w:val="00152F3B"/>
    <w:rsid w:val="00154076"/>
    <w:rsid w:val="00156EDF"/>
    <w:rsid w:val="00163692"/>
    <w:rsid w:val="00165C4F"/>
    <w:rsid w:val="0016624D"/>
    <w:rsid w:val="00172014"/>
    <w:rsid w:val="001731DA"/>
    <w:rsid w:val="00180242"/>
    <w:rsid w:val="001810D1"/>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1F7BDF"/>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1978"/>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2EE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5305"/>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1C2E"/>
    <w:rsid w:val="00553B79"/>
    <w:rsid w:val="00554FBC"/>
    <w:rsid w:val="00556093"/>
    <w:rsid w:val="005600AB"/>
    <w:rsid w:val="0056091E"/>
    <w:rsid w:val="00560B95"/>
    <w:rsid w:val="00565235"/>
    <w:rsid w:val="00565CFF"/>
    <w:rsid w:val="005711A5"/>
    <w:rsid w:val="005736DF"/>
    <w:rsid w:val="00574F16"/>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79A"/>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6EB5"/>
    <w:rsid w:val="00787CD7"/>
    <w:rsid w:val="00795784"/>
    <w:rsid w:val="007A06E2"/>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4C9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87C84"/>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8F763E"/>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1B5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013B"/>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684"/>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32CF"/>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03C9"/>
    <w:rsid w:val="00C03459"/>
    <w:rsid w:val="00C0431A"/>
    <w:rsid w:val="00C10223"/>
    <w:rsid w:val="00C10FC4"/>
    <w:rsid w:val="00C20096"/>
    <w:rsid w:val="00C270B5"/>
    <w:rsid w:val="00C3328D"/>
    <w:rsid w:val="00C34C16"/>
    <w:rsid w:val="00C363AF"/>
    <w:rsid w:val="00C41512"/>
    <w:rsid w:val="00C47577"/>
    <w:rsid w:val="00C53A20"/>
    <w:rsid w:val="00C55BF9"/>
    <w:rsid w:val="00C5792D"/>
    <w:rsid w:val="00C60255"/>
    <w:rsid w:val="00C60A96"/>
    <w:rsid w:val="00C60CA4"/>
    <w:rsid w:val="00C6295E"/>
    <w:rsid w:val="00C71219"/>
    <w:rsid w:val="00C72A7E"/>
    <w:rsid w:val="00C74D54"/>
    <w:rsid w:val="00C751BC"/>
    <w:rsid w:val="00C77BD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533"/>
    <w:rsid w:val="00CE7FCB"/>
    <w:rsid w:val="00CF1857"/>
    <w:rsid w:val="00CF1A00"/>
    <w:rsid w:val="00CF3D5C"/>
    <w:rsid w:val="00CF4AAB"/>
    <w:rsid w:val="00CF6452"/>
    <w:rsid w:val="00CF6D60"/>
    <w:rsid w:val="00D010A2"/>
    <w:rsid w:val="00D04052"/>
    <w:rsid w:val="00D07130"/>
    <w:rsid w:val="00D11009"/>
    <w:rsid w:val="00D1360B"/>
    <w:rsid w:val="00D1491E"/>
    <w:rsid w:val="00D211B4"/>
    <w:rsid w:val="00D233BC"/>
    <w:rsid w:val="00D25E56"/>
    <w:rsid w:val="00D27380"/>
    <w:rsid w:val="00D33751"/>
    <w:rsid w:val="00D340A2"/>
    <w:rsid w:val="00D364C5"/>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091B"/>
    <w:rsid w:val="00E31396"/>
    <w:rsid w:val="00E34A5C"/>
    <w:rsid w:val="00E34EAB"/>
    <w:rsid w:val="00E3602C"/>
    <w:rsid w:val="00E40A12"/>
    <w:rsid w:val="00E411A1"/>
    <w:rsid w:val="00E427AF"/>
    <w:rsid w:val="00E4499A"/>
    <w:rsid w:val="00E44E57"/>
    <w:rsid w:val="00E4711B"/>
    <w:rsid w:val="00E53ADB"/>
    <w:rsid w:val="00E56269"/>
    <w:rsid w:val="00E64220"/>
    <w:rsid w:val="00E67262"/>
    <w:rsid w:val="00E6772F"/>
    <w:rsid w:val="00E7140D"/>
    <w:rsid w:val="00E71BC6"/>
    <w:rsid w:val="00E731E2"/>
    <w:rsid w:val="00E747D1"/>
    <w:rsid w:val="00E74D4F"/>
    <w:rsid w:val="00E75349"/>
    <w:rsid w:val="00E75A58"/>
    <w:rsid w:val="00E7661B"/>
    <w:rsid w:val="00E80068"/>
    <w:rsid w:val="00E83329"/>
    <w:rsid w:val="00E84166"/>
    <w:rsid w:val="00E91329"/>
    <w:rsid w:val="00E91885"/>
    <w:rsid w:val="00E97263"/>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236C7"/>
    <w:rsid w:val="00F31A22"/>
    <w:rsid w:val="00F31E55"/>
    <w:rsid w:val="00F3724F"/>
    <w:rsid w:val="00F417F1"/>
    <w:rsid w:val="00F4293B"/>
    <w:rsid w:val="00F43044"/>
    <w:rsid w:val="00F44CB0"/>
    <w:rsid w:val="00F46E26"/>
    <w:rsid w:val="00F47620"/>
    <w:rsid w:val="00F5004E"/>
    <w:rsid w:val="00F50665"/>
    <w:rsid w:val="00F51EF5"/>
    <w:rsid w:val="00F55422"/>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678"/>
    <w:rsid w:val="00FD5A5D"/>
    <w:rsid w:val="00FD6641"/>
    <w:rsid w:val="00FD694C"/>
    <w:rsid w:val="00FD6C5B"/>
    <w:rsid w:val="00FE2DAA"/>
    <w:rsid w:val="00FE7F71"/>
    <w:rsid w:val="00FF0165"/>
    <w:rsid w:val="00FF1AA1"/>
    <w:rsid w:val="00FF238C"/>
    <w:rsid w:val="00FF2D6D"/>
    <w:rsid w:val="00FF30C3"/>
    <w:rsid w:val="00FF441F"/>
    <w:rsid w:val="00FF5AB3"/>
    <w:rsid w:val="00FF6E06"/>
    <w:rsid w:val="00FF6F2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00000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067602779">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image" Target="media/image3.png"/><Relationship Id="rId26"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browse.org" TargetMode="External"/><Relationship Id="rId25" Type="http://schemas.openxmlformats.org/officeDocument/2006/relationships/hyperlink" Target="http://grants.nih.gov/grants/guide/notice-files/not98-024.html" TargetMode="External"/><Relationship Id="rId2" Type="http://schemas.openxmlformats.org/officeDocument/2006/relationships/numbering" Target="numbering.xml"/><Relationship Id="rId16" Type="http://schemas.openxmlformats.org/officeDocument/2006/relationships/hyperlink" Target="http://www.ncbi.nlm.nih.gov/Traces/sra/sra.cgi" TargetMode="External"/><Relationship Id="rId20" Type="http://schemas.openxmlformats.org/officeDocument/2006/relationships/image" Target="media/image4.png"/><Relationship Id="rId29" Type="http://schemas.openxmlformats.org/officeDocument/2006/relationships/hyperlink" Target="http://maq.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mailto:brooksl@mail.nih.gov"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yperlink" Target="http://www.genome.gov/27527585" TargetMode="External"/><Relationship Id="rId10" Type="http://schemas.openxmlformats.org/officeDocument/2006/relationships/hyperlink" Target="http://www.nanoporetech.com" TargetMode="External"/><Relationship Id="rId19" Type="http://schemas.openxmlformats.org/officeDocument/2006/relationships/hyperlink" Target="http://bio.ccs.miami.edu/ibi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hyperlink" Target="http://www.sciencedirect.com/science?_ob=ArticleURL&amp;_udi=B6WG1-4T91MW8-1&amp;_user=1766625&amp;_rdoc=1&amp;_fmt=&amp;_orig=search&amp;_sort=d&amp;view=c&amp;_version=1&amp;_urlVersion=0&amp;_userid=1766625&amp;md5=a6c5391521d118bfa609d7dbcfc83d33" TargetMode="External"/><Relationship Id="rId22" Type="http://schemas.openxmlformats.org/officeDocument/2006/relationships/hyperlink" Target="http://www.dojotoolkit.org" TargetMode="External"/><Relationship Id="rId27" Type="http://schemas.openxmlformats.org/officeDocument/2006/relationships/hyperlink" Target="http://era.nih.gov/ElectronicReceipt/pdf_guideline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15532</Words>
  <Characters>88535</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103860</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2009-04-22T15:06:00Z</dcterms:created>
  <dcterms:modified xsi:type="dcterms:W3CDTF">2009-04-22T16:25:00Z</dcterms:modified>
</cp:coreProperties>
</file>