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Default="00C5792D" w:rsidP="00C5792D">
      <w:pPr>
        <w:pStyle w:val="DataField11pt-Single"/>
      </w:pPr>
      <w:r>
        <w:t>2. Specific Aims (one page maximum; separate PDF attachment)</w:t>
      </w:r>
    </w:p>
    <w:p w:rsidR="000B3836" w:rsidRDefault="009E40D9" w:rsidP="009E40D9">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226230">
        <w:rPr>
          <w:rFonts w:ascii="Georgia" w:hAnsi="Georgia"/>
          <w:sz w:val="24"/>
          <w:szCs w:val="24"/>
        </w:rPr>
        <w:fldChar w:fldCharType="begin"/>
      </w:r>
      <w:r>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226230">
        <w:rPr>
          <w:rFonts w:ascii="Georgia" w:hAnsi="Georgia"/>
          <w:sz w:val="24"/>
          <w:szCs w:val="24"/>
        </w:rPr>
        <w:fldChar w:fldCharType="separate"/>
      </w:r>
      <w:r>
        <w:rPr>
          <w:rFonts w:ascii="Georgia" w:hAnsi="Georgia"/>
          <w:sz w:val="24"/>
          <w:szCs w:val="24"/>
        </w:rPr>
        <w:t>(1)</w:t>
      </w:r>
      <w:r w:rsidR="00226230">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226230">
        <w:rPr>
          <w:rFonts w:ascii="Georgia" w:hAnsi="Georgia"/>
          <w:sz w:val="24"/>
          <w:szCs w:val="24"/>
        </w:rPr>
        <w:fldChar w:fldCharType="begin"/>
      </w:r>
      <w:r>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26230">
        <w:rPr>
          <w:rFonts w:ascii="Georgia" w:hAnsi="Georgia"/>
          <w:sz w:val="24"/>
          <w:szCs w:val="24"/>
        </w:rPr>
        <w:fldChar w:fldCharType="separate"/>
      </w:r>
      <w:r>
        <w:rPr>
          <w:rFonts w:ascii="Georgia" w:hAnsi="Georgia"/>
          <w:sz w:val="24"/>
          <w:szCs w:val="24"/>
        </w:rPr>
        <w:t>(2)</w:t>
      </w:r>
      <w:r w:rsidR="00226230">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A51A00">
        <w:rPr>
          <w:rFonts w:ascii="Georgia" w:hAnsi="Georgia"/>
          <w:sz w:val="24"/>
          <w:szCs w:val="24"/>
        </w:rPr>
        <w:t xml:space="preserve">development of this new paradigm </w:t>
      </w:r>
      <w:r w:rsidR="00226230">
        <w:rPr>
          <w:rFonts w:ascii="Georgia" w:hAnsi="Georgia"/>
          <w:sz w:val="24"/>
          <w:szCs w:val="24"/>
        </w:rPr>
        <w:fldChar w:fldCharType="begin"/>
      </w:r>
      <w:r>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26230">
        <w:rPr>
          <w:rFonts w:ascii="Georgia" w:hAnsi="Georgia"/>
          <w:sz w:val="24"/>
          <w:szCs w:val="24"/>
        </w:rPr>
        <w:fldChar w:fldCharType="separate"/>
      </w:r>
      <w:r>
        <w:rPr>
          <w:rFonts w:ascii="Georgia" w:hAnsi="Georgia"/>
          <w:sz w:val="24"/>
          <w:szCs w:val="24"/>
        </w:rPr>
        <w:t>(2, 3)</w:t>
      </w:r>
      <w:r w:rsidR="00226230">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health care 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491F7E">
        <w:rPr>
          <w:rFonts w:ascii="Georgia" w:hAnsi="Georgia"/>
          <w:sz w:val="24"/>
          <w:szCs w:val="24"/>
        </w:rPr>
        <w:t xml:space="preserve">tools designed to handle the large volumes of NextGen data and integrate heterogeneous data sets.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p>
    <w:p w:rsidR="00F50665" w:rsidRDefault="000B3836" w:rsidP="00F50665">
      <w:pPr>
        <w:spacing w:before="120"/>
        <w:rPr>
          <w:rFonts w:ascii="Georgia" w:eastAsia="Times New Roman" w:hAnsi="Georgia"/>
          <w:sz w:val="24"/>
          <w:szCs w:val="24"/>
        </w:rPr>
      </w:pPr>
      <w:r>
        <w:rPr>
          <w:rFonts w:ascii="Georgia" w:hAnsi="Georgia"/>
          <w:sz w:val="24"/>
          <w:szCs w:val="24"/>
        </w:rPr>
        <w:t xml:space="preserve">At present, </w:t>
      </w:r>
      <w:r w:rsidR="00DD3EA2">
        <w:rPr>
          <w:rFonts w:ascii="Georgia" w:hAnsi="Georgia"/>
          <w:sz w:val="24"/>
          <w:szCs w:val="24"/>
        </w:rPr>
        <w:t xml:space="preserve">there are </w:t>
      </w:r>
      <w:r>
        <w:rPr>
          <w:rFonts w:ascii="Georgia" w:hAnsi="Georgia"/>
          <w:sz w:val="24"/>
          <w:szCs w:val="24"/>
        </w:rPr>
        <w:t xml:space="preserve">no tools </w:t>
      </w:r>
      <w:r w:rsidR="00DD3EA2">
        <w:rPr>
          <w:rFonts w:ascii="Georgia" w:hAnsi="Georgia"/>
          <w:sz w:val="24"/>
          <w:szCs w:val="24"/>
        </w:rPr>
        <w:t xml:space="preserve">available </w:t>
      </w:r>
      <w:r>
        <w:rPr>
          <w:rFonts w:ascii="Georgia" w:hAnsi="Georgia"/>
          <w:sz w:val="24"/>
          <w:szCs w:val="24"/>
        </w:rPr>
        <w:t xml:space="preserve">that span the whole process from </w:t>
      </w:r>
      <w:r w:rsidR="0011185E">
        <w:rPr>
          <w:rFonts w:ascii="Georgia" w:hAnsi="Georgia"/>
          <w:sz w:val="24"/>
          <w:szCs w:val="24"/>
        </w:rPr>
        <w:t xml:space="preserve">NextGen </w:t>
      </w:r>
      <w:r>
        <w:rPr>
          <w:rFonts w:ascii="Georgia" w:hAnsi="Georgia"/>
          <w:sz w:val="24"/>
          <w:szCs w:val="24"/>
        </w:rPr>
        <w:t xml:space="preserve">sequence generation to analysis and visualization. </w:t>
      </w:r>
      <w:r w:rsidR="00F50665">
        <w:rPr>
          <w:rFonts w:ascii="Georgia" w:hAnsi="Georgia"/>
          <w:sz w:val="24"/>
          <w:szCs w:val="24"/>
        </w:rPr>
        <w:t xml:space="preserve">To help address these challenges, we propose the </w:t>
      </w:r>
      <w:r w:rsidR="00DD3EA2">
        <w:rPr>
          <w:rFonts w:ascii="Georgia" w:hAnsi="Georgia"/>
          <w:sz w:val="24"/>
          <w:szCs w:val="24"/>
        </w:rPr>
        <w:t xml:space="preserve">rapid deployment </w:t>
      </w:r>
      <w:r w:rsidR="00F50665">
        <w:rPr>
          <w:rFonts w:ascii="Georgia" w:hAnsi="Georgia"/>
          <w:sz w:val="24"/>
          <w:szCs w:val="24"/>
        </w:rPr>
        <w:t xml:space="preserve">of </w:t>
      </w:r>
      <w:r w:rsidR="009E40D9" w:rsidRPr="009C6530">
        <w:rPr>
          <w:rFonts w:ascii="Georgia" w:hAnsi="Georgia"/>
          <w:sz w:val="24"/>
          <w:szCs w:val="24"/>
        </w:rPr>
        <w:t xml:space="preserve">a </w:t>
      </w:r>
      <w:r w:rsidR="00F50665">
        <w:rPr>
          <w:rFonts w:ascii="Georgia" w:hAnsi="Georgia"/>
          <w:sz w:val="24"/>
          <w:szCs w:val="24"/>
        </w:rPr>
        <w:t xml:space="preserve">software system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challenges of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00F50665"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F50665" w:rsidRPr="009C6530">
        <w:rPr>
          <w:rFonts w:ascii="Georgia" w:eastAsia="Times New Roman" w:hAnsi="Georgia"/>
          <w:sz w:val="24"/>
          <w:szCs w:val="24"/>
        </w:rPr>
        <w:t xml:space="preserve"> </w:t>
      </w:r>
      <w:r w:rsidR="006D203F">
        <w:rPr>
          <w:rFonts w:ascii="Georgia" w:eastAsia="Times New Roman" w:hAnsi="Georgia"/>
          <w:sz w:val="24"/>
          <w:szCs w:val="24"/>
        </w:rPr>
        <w:t xml:space="preserve">and allowing </w:t>
      </w:r>
      <w:r w:rsidR="00F50665"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00F50665"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F50665" w:rsidRPr="009C6530">
        <w:rPr>
          <w:rFonts w:ascii="Georgia" w:eastAsia="Times New Roman" w:hAnsi="Georgia"/>
          <w:sz w:val="24"/>
          <w:szCs w:val="24"/>
        </w:rPr>
        <w:t>, and 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DD3EA2" w:rsidRPr="00DD3EA2"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pipeline based on the evaluation of current NextGen assemblers/aligners.</w:t>
      </w:r>
    </w:p>
    <w:p w:rsidR="009E40D9" w:rsidRPr="007D631D" w:rsidRDefault="009E40D9" w:rsidP="00DD3EA2">
      <w:pPr>
        <w:spacing w:before="12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 by end user</w:t>
      </w:r>
    </w:p>
    <w:p w:rsidR="00DD3EA2" w:rsidRDefault="00DD3EA2" w:rsidP="00DD3EA2">
      <w:pPr>
        <w:spacing w:before="120"/>
        <w:rPr>
          <w:rFonts w:ascii="Georgia" w:hAnsi="Georgia"/>
          <w:b/>
          <w:sz w:val="24"/>
          <w:szCs w:val="24"/>
        </w:rPr>
      </w:pP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Implement SNP annotation and expression a</w:t>
      </w:r>
      <w:r w:rsidR="009E40D9" w:rsidRPr="007D631D">
        <w:rPr>
          <w:rFonts w:ascii="Georgia" w:hAnsi="Georgia"/>
          <w:b/>
          <w:sz w:val="24"/>
          <w:szCs w:val="24"/>
        </w:rPr>
        <w:t>nalysis</w:t>
      </w:r>
      <w:r w:rsidR="00C5792D">
        <w:rPr>
          <w:rFonts w:ascii="Georgia" w:hAnsi="Georgia"/>
          <w:b/>
          <w:sz w:val="24"/>
          <w:szCs w:val="24"/>
        </w:rPr>
        <w:t xml:space="preserve">, </w:t>
      </w:r>
      <w:r w:rsidR="00C5792D" w:rsidRPr="007D631D">
        <w:rPr>
          <w:rFonts w:ascii="Georgia" w:hAnsi="Georgia"/>
          <w:b/>
          <w:sz w:val="24"/>
          <w:szCs w:val="24"/>
        </w:rPr>
        <w:t xml:space="preserve">Reporting and Visualization </w:t>
      </w:r>
    </w:p>
    <w:p w:rsidR="009E40D9" w:rsidRDefault="006D203F" w:rsidP="00DD3EA2">
      <w:pPr>
        <w:spacing w:before="120"/>
        <w:rPr>
          <w:rFonts w:ascii="Georgia" w:hAnsi="Georgia"/>
          <w:sz w:val="24"/>
          <w:szCs w:val="24"/>
        </w:rPr>
      </w:pPr>
      <w:r w:rsidRPr="00285FA3">
        <w:rPr>
          <w:rFonts w:ascii="Georgia" w:hAnsi="Georgia"/>
          <w:sz w:val="24"/>
          <w:szCs w:val="24"/>
        </w:rPr>
        <w:t xml:space="preserve">We propose defining quality </w:t>
      </w:r>
      <w:r w:rsidR="00285FA3" w:rsidRPr="00285FA3">
        <w:rPr>
          <w:rFonts w:ascii="Georgia" w:hAnsi="Georgia"/>
          <w:sz w:val="24"/>
          <w:szCs w:val="24"/>
        </w:rPr>
        <w:t>control/assurance algorithms for SNP verification</w:t>
      </w:r>
      <w:r w:rsidR="00285FA3">
        <w:rPr>
          <w:rFonts w:ascii="Georgia" w:hAnsi="Georgia"/>
          <w:sz w:val="24"/>
          <w:szCs w:val="24"/>
        </w:rPr>
        <w:t>.</w:t>
      </w:r>
    </w:p>
    <w:p w:rsidR="00285FA3" w:rsidRPr="00285FA3" w:rsidRDefault="00285FA3" w:rsidP="00DD3EA2">
      <w:pPr>
        <w:spacing w:before="120"/>
        <w:rPr>
          <w:rFonts w:ascii="Georgia" w:hAnsi="Georgia"/>
          <w:sz w:val="24"/>
          <w:szCs w:val="24"/>
        </w:rPr>
      </w:pP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Defined q</w:t>
      </w:r>
      <w:r w:rsidRPr="007D631D">
        <w:rPr>
          <w:rFonts w:ascii="Georgia" w:hAnsi="Georgia"/>
          <w:sz w:val="24"/>
          <w:szCs w:val="24"/>
        </w:rPr>
        <w:t xml:space="preserve">uality control/assurance algorithms </w:t>
      </w:r>
      <w:r>
        <w:rPr>
          <w:rFonts w:ascii="Georgia" w:hAnsi="Georgia"/>
          <w:sz w:val="24"/>
          <w:szCs w:val="24"/>
        </w:rPr>
        <w:t>for SNP verification</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a SNP annotation pipeline</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t>
      </w:r>
      <w:r>
        <w:rPr>
          <w:rFonts w:ascii="Georgia" w:hAnsi="Georgia"/>
          <w:sz w:val="24"/>
          <w:szCs w:val="24"/>
        </w:rPr>
        <w:t xml:space="preserve">with </w:t>
      </w:r>
      <w:r w:rsidRPr="007D631D">
        <w:rPr>
          <w:rFonts w:ascii="Georgia" w:hAnsi="Georgia"/>
          <w:sz w:val="24"/>
          <w:szCs w:val="24"/>
        </w:rPr>
        <w:t>current expression analysis packages</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new expression analysis algorithms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Design </w:t>
      </w:r>
      <w:r w:rsidRPr="007D631D">
        <w:rPr>
          <w:rFonts w:ascii="Georgia" w:hAnsi="Georgia"/>
          <w:sz w:val="24"/>
          <w:szCs w:val="24"/>
        </w:rPr>
        <w:t>data</w:t>
      </w:r>
      <w:r>
        <w:rPr>
          <w:rFonts w:ascii="Georgia" w:hAnsi="Georgia"/>
          <w:sz w:val="24"/>
          <w:szCs w:val="24"/>
        </w:rPr>
        <w:t xml:space="preserve"> filters based on user requirements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Provide g</w:t>
      </w:r>
      <w:r w:rsidRPr="007D631D">
        <w:rPr>
          <w:rFonts w:ascii="Georgia" w:hAnsi="Georgia"/>
          <w:sz w:val="24"/>
          <w:szCs w:val="24"/>
        </w:rPr>
        <w:t>enome-level view</w:t>
      </w:r>
      <w:r>
        <w:rPr>
          <w:rFonts w:ascii="Georgia" w:hAnsi="Georgia"/>
          <w:sz w:val="24"/>
          <w:szCs w:val="24"/>
        </w:rPr>
        <w:t xml:space="preserve"> of data with integrated external databases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with </w:t>
      </w:r>
      <w:r>
        <w:rPr>
          <w:rFonts w:ascii="Georgia" w:hAnsi="Georgia"/>
          <w:sz w:val="24"/>
          <w:szCs w:val="24"/>
        </w:rPr>
        <w:t>downstream analysis applications (</w:t>
      </w:r>
      <w:r w:rsidRPr="007D631D">
        <w:rPr>
          <w:rFonts w:ascii="Georgia" w:hAnsi="Georgia"/>
          <w:sz w:val="24"/>
          <w:szCs w:val="24"/>
        </w:rPr>
        <w:t xml:space="preserve">Cytoscape, </w:t>
      </w:r>
      <w:r>
        <w:rPr>
          <w:rFonts w:ascii="Georgia" w:hAnsi="Georgia"/>
          <w:sz w:val="24"/>
          <w:szCs w:val="24"/>
        </w:rPr>
        <w:t>Genespring, R, etc.)</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 xml:space="preserve">Development of Comprehensive Software </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lastRenderedPageBreak/>
        <w:t>Establish software design plan based on requirements in Aims 1-3</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Implement user-centric development process to ensure usability </w:t>
      </w:r>
    </w:p>
    <w:p w:rsidR="009E40D9" w:rsidRPr="00672042" w:rsidRDefault="009E40D9" w:rsidP="009E40D9">
      <w:pPr>
        <w:numPr>
          <w:ilvl w:val="1"/>
          <w:numId w:val="20"/>
        </w:numPr>
        <w:spacing w:before="120"/>
        <w:ind w:left="2880"/>
        <w:rPr>
          <w:rFonts w:ascii="Georgia" w:hAnsi="Georgia"/>
          <w:sz w:val="24"/>
          <w:szCs w:val="24"/>
        </w:rPr>
      </w:pPr>
      <w:r>
        <w:rPr>
          <w:rFonts w:ascii="Georgia" w:hAnsi="Georgia"/>
          <w:sz w:val="24"/>
          <w:szCs w:val="24"/>
        </w:rPr>
        <w:t>Execute thorough post-release user testing at each project milestone</w:t>
      </w:r>
    </w:p>
    <w:p w:rsidR="009E40D9" w:rsidRDefault="009E40D9" w:rsidP="009E40D9">
      <w:pPr>
        <w:spacing w:before="120"/>
        <w:jc w:val="center"/>
        <w:rPr>
          <w:rFonts w:ascii="Georgia" w:hAnsi="Georgia"/>
          <w:b/>
          <w:sz w:val="36"/>
          <w:szCs w:val="36"/>
        </w:rPr>
      </w:pPr>
    </w:p>
    <w:p w:rsidR="00C5792D" w:rsidRDefault="00C5792D" w:rsidP="009E40D9">
      <w:pPr>
        <w:spacing w:before="120"/>
        <w:jc w:val="center"/>
        <w:rPr>
          <w:rFonts w:ascii="Georgia" w:hAnsi="Georgia"/>
          <w:b/>
          <w:sz w:val="36"/>
          <w:szCs w:val="36"/>
        </w:rPr>
      </w:pPr>
    </w:p>
    <w:p w:rsidR="00C5792D" w:rsidRDefault="00C5792D" w:rsidP="00C5792D">
      <w:pPr>
        <w:spacing w:before="120"/>
      </w:pPr>
      <w:r w:rsidRPr="00A51A00">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p w:rsidR="00C5792D" w:rsidRPr="009C6530" w:rsidRDefault="00C5792D" w:rsidP="00C5792D">
      <w:pPr>
        <w:spacing w:before="120"/>
        <w:jc w:val="center"/>
        <w:rPr>
          <w:rFonts w:ascii="Georgia" w:hAnsi="Georgia"/>
          <w:b/>
          <w:sz w:val="24"/>
          <w:szCs w:val="24"/>
        </w:rPr>
      </w:pPr>
      <w:r w:rsidRPr="009D346B">
        <w:rPr>
          <w:rFonts w:ascii="Georgia" w:hAnsi="Georgia"/>
          <w:sz w:val="44"/>
          <w:szCs w:val="44"/>
        </w:rPr>
        <w:t>The Challenge and Potential Impact</w:t>
      </w:r>
    </w:p>
    <w:p w:rsidR="00C5792D" w:rsidRDefault="00C5792D" w:rsidP="009E40D9">
      <w:pPr>
        <w:spacing w:before="120"/>
        <w:jc w:val="center"/>
        <w:rPr>
          <w:rFonts w:ascii="Georgia" w:hAnsi="Georgia"/>
          <w:b/>
          <w:sz w:val="36"/>
          <w:szCs w:val="36"/>
        </w:rPr>
      </w:pPr>
    </w:p>
    <w:p w:rsidR="00C5792D" w:rsidRDefault="00C5792D" w:rsidP="009E40D9">
      <w:pPr>
        <w:spacing w:before="120"/>
        <w:jc w:val="center"/>
        <w:rPr>
          <w:rFonts w:ascii="Georgia" w:hAnsi="Georgia"/>
          <w:b/>
          <w:sz w:val="36"/>
          <w:szCs w:val="36"/>
        </w:rPr>
      </w:pPr>
    </w:p>
    <w:p w:rsidR="009E40D9" w:rsidRDefault="009E40D9" w:rsidP="009E40D9">
      <w:pPr>
        <w:spacing w:before="120"/>
        <w:rPr>
          <w:rFonts w:ascii="Georgia" w:hAnsi="Georgia"/>
          <w:sz w:val="24"/>
          <w:szCs w:val="24"/>
        </w:rPr>
      </w:pPr>
      <w:r w:rsidRPr="00990DD8">
        <w:rPr>
          <w:rFonts w:ascii="Georgia" w:hAnsi="Georgia"/>
          <w:sz w:val="24"/>
          <w:szCs w:val="24"/>
        </w:rPr>
        <w:t>The aims do not include</w:t>
      </w:r>
      <w:r>
        <w:rPr>
          <w:rFonts w:ascii="Georgia" w:hAnsi="Georgia"/>
          <w:sz w:val="24"/>
          <w:szCs w:val="24"/>
        </w:rPr>
        <w:t xml:space="preserve"> the following:</w:t>
      </w:r>
    </w:p>
    <w:p w:rsidR="009E40D9" w:rsidRDefault="009E40D9" w:rsidP="000B3836">
      <w:pPr>
        <w:numPr>
          <w:ilvl w:val="0"/>
          <w:numId w:val="22"/>
        </w:numPr>
        <w:spacing w:before="120"/>
        <w:rPr>
          <w:rFonts w:ascii="Georgia" w:hAnsi="Georgia"/>
          <w:sz w:val="24"/>
          <w:szCs w:val="24"/>
        </w:rPr>
      </w:pPr>
      <w:r>
        <w:rPr>
          <w:rFonts w:ascii="Georgia" w:hAnsi="Georgia"/>
          <w:sz w:val="24"/>
          <w:szCs w:val="24"/>
        </w:rPr>
        <w:t>Workflows including biological web databases or applications that do not provide Web services</w:t>
      </w:r>
    </w:p>
    <w:p w:rsidR="009E40D9" w:rsidRDefault="009E40D9" w:rsidP="000B3836">
      <w:pPr>
        <w:numPr>
          <w:ilvl w:val="0"/>
          <w:numId w:val="22"/>
        </w:numPr>
        <w:spacing w:before="120"/>
        <w:rPr>
          <w:rFonts w:ascii="Georgia" w:hAnsi="Georgia"/>
          <w:sz w:val="24"/>
          <w:szCs w:val="24"/>
        </w:rPr>
      </w:pPr>
      <w:r>
        <w:rPr>
          <w:rFonts w:ascii="Georgia" w:hAnsi="Georgia"/>
          <w:sz w:val="24"/>
          <w:szCs w:val="24"/>
        </w:rPr>
        <w:t xml:space="preserve">Workflows including Windows-only applications </w:t>
      </w:r>
    </w:p>
    <w:p w:rsidR="009E40D9" w:rsidRDefault="009E40D9" w:rsidP="000B3836">
      <w:pPr>
        <w:numPr>
          <w:ilvl w:val="0"/>
          <w:numId w:val="22"/>
        </w:numPr>
        <w:spacing w:before="120"/>
        <w:rPr>
          <w:rFonts w:ascii="Georgia" w:hAnsi="Georgia"/>
          <w:sz w:val="24"/>
          <w:szCs w:val="24"/>
        </w:rPr>
      </w:pPr>
      <w:r>
        <w:rPr>
          <w:rFonts w:ascii="Georgia" w:hAnsi="Georgia"/>
          <w:sz w:val="24"/>
          <w:szCs w:val="24"/>
        </w:rPr>
        <w:t>LIMS (laboratory instrumentation management systems) capabilities</w:t>
      </w:r>
    </w:p>
    <w:p w:rsidR="009E40D9" w:rsidRDefault="009E40D9" w:rsidP="00101184">
      <w:pPr>
        <w:numPr>
          <w:ilvl w:val="0"/>
          <w:numId w:val="22"/>
        </w:numPr>
        <w:spacing w:before="120"/>
        <w:rPr>
          <w:rFonts w:ascii="Georgia" w:hAnsi="Georgia"/>
          <w:sz w:val="24"/>
          <w:szCs w:val="24"/>
        </w:rPr>
      </w:pPr>
      <w:r>
        <w:rPr>
          <w:rFonts w:ascii="Georgia" w:hAnsi="Georgia"/>
          <w:sz w:val="24"/>
          <w:szCs w:val="24"/>
        </w:rPr>
        <w:t>Comparative genome visualization</w:t>
      </w:r>
    </w:p>
    <w:p w:rsidR="006E75DD" w:rsidRDefault="006E75DD" w:rsidP="006E75DD">
      <w:pPr>
        <w:spacing w:before="120"/>
        <w:rPr>
          <w:rFonts w:ascii="Georgia" w:hAnsi="Georgia"/>
          <w:sz w:val="24"/>
          <w:szCs w:val="24"/>
        </w:rPr>
      </w:pPr>
    </w:p>
    <w:p w:rsidR="005736DF" w:rsidRPr="006E75DD" w:rsidRDefault="006E75DD" w:rsidP="006E75DD">
      <w:pPr>
        <w:spacing w:before="120"/>
        <w:rPr>
          <w:rFonts w:ascii="Georgia" w:hAnsi="Georgia"/>
          <w:sz w:val="24"/>
          <w:szCs w:val="24"/>
        </w:rPr>
      </w:pPr>
      <w:r>
        <w:rPr>
          <w:rFonts w:ascii="Georgia" w:hAnsi="Georgia"/>
          <w:sz w:val="24"/>
          <w:szCs w:val="24"/>
        </w:rPr>
        <w:t xml:space="preserve">The impact of achieving Aim </w:t>
      </w:r>
      <w:r w:rsidRPr="006E75DD">
        <w:rPr>
          <w:rFonts w:ascii="Georgia" w:hAnsi="Georgia"/>
          <w:sz w:val="24"/>
          <w:szCs w:val="24"/>
        </w:rPr>
        <w:t>1</w:t>
      </w:r>
      <w:r>
        <w:rPr>
          <w:rFonts w:ascii="Georgia" w:hAnsi="Georgia"/>
          <w:sz w:val="24"/>
          <w:szCs w:val="24"/>
        </w:rPr>
        <w:t xml:space="preserve"> (A</w:t>
      </w:r>
      <w:r w:rsidRPr="006E75DD">
        <w:rPr>
          <w:rFonts w:ascii="Georgia" w:hAnsi="Georgia"/>
          <w:sz w:val="24"/>
          <w:szCs w:val="24"/>
        </w:rPr>
        <w:t>ssembly Methodology and Pipeline</w:t>
      </w:r>
      <w:r>
        <w:rPr>
          <w:rFonts w:ascii="Georgia" w:hAnsi="Georgia"/>
          <w:sz w:val="24"/>
          <w:szCs w:val="24"/>
        </w:rPr>
        <w:t>)</w:t>
      </w:r>
      <w:r w:rsidR="00BC46C7">
        <w:rPr>
          <w:rFonts w:ascii="Georgia" w:hAnsi="Georgia"/>
          <w:sz w:val="24"/>
          <w:szCs w:val="24"/>
        </w:rPr>
        <w:t xml:space="preserve"> </w:t>
      </w:r>
      <w:r w:rsidR="000D771A">
        <w:rPr>
          <w:rFonts w:ascii="Georgia" w:hAnsi="Georgia"/>
          <w:sz w:val="24"/>
          <w:szCs w:val="24"/>
        </w:rPr>
        <w:t xml:space="preserve">will be </w:t>
      </w:r>
      <w:r w:rsidR="00BC46C7">
        <w:rPr>
          <w:rFonts w:ascii="Georgia" w:hAnsi="Georgia"/>
          <w:sz w:val="24"/>
          <w:szCs w:val="24"/>
        </w:rPr>
        <w:t>to accelerate the development of NextGen sequencing assembly tools by providing a</w:t>
      </w:r>
      <w:r w:rsidR="000D771A">
        <w:rPr>
          <w:rFonts w:ascii="Georgia" w:hAnsi="Georgia"/>
          <w:sz w:val="24"/>
          <w:szCs w:val="24"/>
        </w:rPr>
        <w:t>n objective</w:t>
      </w:r>
      <w:r w:rsidR="00BC46C7">
        <w:rPr>
          <w:rFonts w:ascii="Georgia" w:hAnsi="Georgia"/>
          <w:sz w:val="24"/>
          <w:szCs w:val="24"/>
        </w:rPr>
        <w:t xml:space="preserve"> means to compare the results </w:t>
      </w:r>
      <w:r w:rsidR="000D771A">
        <w:rPr>
          <w:rFonts w:ascii="Georgia" w:hAnsi="Georgia"/>
          <w:sz w:val="24"/>
          <w:szCs w:val="24"/>
        </w:rPr>
        <w:t xml:space="preserve">of the growing number of </w:t>
      </w:r>
      <w:r w:rsidR="00BC46C7">
        <w:rPr>
          <w:rFonts w:ascii="Georgia" w:hAnsi="Georgia"/>
          <w:sz w:val="24"/>
          <w:szCs w:val="24"/>
        </w:rPr>
        <w:t xml:space="preserve">different tools.  Objective performance comparisons of assemblers/aligners </w:t>
      </w:r>
      <w:r w:rsidR="000D771A">
        <w:rPr>
          <w:rFonts w:ascii="Georgia" w:hAnsi="Georgia"/>
          <w:sz w:val="24"/>
          <w:szCs w:val="24"/>
        </w:rPr>
        <w:t xml:space="preserve">involving preset criteria and </w:t>
      </w:r>
      <w:r w:rsidR="00091BFD">
        <w:rPr>
          <w:rFonts w:ascii="Georgia" w:hAnsi="Georgia"/>
          <w:sz w:val="24"/>
          <w:szCs w:val="24"/>
        </w:rPr>
        <w:t xml:space="preserve">using multiple different data sets will remove certain types of bias common to </w:t>
      </w:r>
      <w:r w:rsidR="005736DF">
        <w:rPr>
          <w:rFonts w:ascii="Georgia" w:hAnsi="Georgia"/>
          <w:sz w:val="24"/>
          <w:szCs w:val="24"/>
        </w:rPr>
        <w:t>software benchmarks in the life sciences where results can vary dramatically depending on the particular data set used for input</w:t>
      </w:r>
      <w:r w:rsidR="000D771A">
        <w:rPr>
          <w:rFonts w:ascii="Georgia" w:hAnsi="Georgia"/>
          <w:sz w:val="24"/>
          <w:szCs w:val="24"/>
        </w:rPr>
        <w:t xml:space="preserve"> and the interpretation of those results</w:t>
      </w:r>
      <w:r w:rsidR="0011185E">
        <w:rPr>
          <w:rFonts w:ascii="Georgia" w:hAnsi="Georgia"/>
          <w:sz w:val="24"/>
          <w:szCs w:val="24"/>
        </w:rPr>
        <w:t xml:space="preserve">. Optimized pipelines based on these evaluations will allow users </w:t>
      </w:r>
      <w:r w:rsidR="00BC46C7">
        <w:rPr>
          <w:rFonts w:ascii="Georgia" w:hAnsi="Georgia"/>
          <w:sz w:val="24"/>
          <w:szCs w:val="24"/>
        </w:rPr>
        <w:t xml:space="preserve">to </w:t>
      </w:r>
      <w:r w:rsidR="0011185E">
        <w:rPr>
          <w:rFonts w:ascii="Georgia" w:hAnsi="Georgia"/>
          <w:sz w:val="24"/>
          <w:szCs w:val="24"/>
        </w:rPr>
        <w:t xml:space="preserve">improve their work efficiency </w:t>
      </w:r>
      <w:r w:rsidR="005736DF">
        <w:rPr>
          <w:rFonts w:ascii="Georgia" w:hAnsi="Georgia"/>
          <w:sz w:val="24"/>
          <w:szCs w:val="24"/>
        </w:rPr>
        <w:t>and the quality of their results.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9E40D9" w:rsidRDefault="009E40D9" w:rsidP="003308E3">
      <w:pPr>
        <w:spacing w:before="120"/>
      </w:pPr>
    </w:p>
    <w:p w:rsidR="000D771A" w:rsidRPr="00463AB6" w:rsidRDefault="000D771A" w:rsidP="003308E3">
      <w:pPr>
        <w:spacing w:before="120"/>
        <w:rPr>
          <w:rFonts w:ascii="Georgia" w:hAnsi="Georgia"/>
          <w:sz w:val="24"/>
          <w:szCs w:val="24"/>
        </w:rPr>
      </w:pPr>
      <w:r w:rsidRPr="000D771A">
        <w:rPr>
          <w:rFonts w:ascii="Georgia" w:hAnsi="Georgia"/>
          <w:sz w:val="24"/>
          <w:szCs w:val="24"/>
        </w:rPr>
        <w:t xml:space="preserve">The following sections describe the particular challenges </w:t>
      </w:r>
      <w:r w:rsidR="00463AB6">
        <w:rPr>
          <w:rFonts w:ascii="Georgia" w:hAnsi="Georgia"/>
          <w:sz w:val="24"/>
          <w:szCs w:val="24"/>
        </w:rPr>
        <w:t xml:space="preserve">of NextGen technologies, applications and bioinformatics </w:t>
      </w:r>
      <w:r w:rsidRPr="000D771A">
        <w:rPr>
          <w:rFonts w:ascii="Georgia" w:hAnsi="Georgia"/>
          <w:sz w:val="24"/>
          <w:szCs w:val="24"/>
        </w:rPr>
        <w:t xml:space="preserve">in more detail and </w:t>
      </w:r>
      <w:r w:rsidR="00463AB6">
        <w:rPr>
          <w:rFonts w:ascii="Georgia" w:hAnsi="Georgia"/>
          <w:sz w:val="24"/>
          <w:szCs w:val="24"/>
        </w:rPr>
        <w:t>discuss the anticipated impact of solutions provided by this study.</w:t>
      </w: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463AB6"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(4)</w:t>
      </w:r>
      <w:r w:rsidR="00226230">
        <w:rPr>
          <w:rFonts w:ascii="Georgia" w:hAnsi="Georgia"/>
          <w:sz w:val="24"/>
          <w:szCs w:val="24"/>
        </w:rPr>
        <w:fldChar w:fldCharType="end"/>
      </w:r>
      <w:r w:rsidRPr="009C6530">
        <w:rPr>
          <w:rFonts w:ascii="Georgia" w:hAnsi="Georgia"/>
          <w:sz w:val="24"/>
          <w:szCs w:val="24"/>
        </w:rPr>
        <w:t xml:space="preserve">, Roche/454 </w:t>
      </w:r>
      <w:r w:rsidR="0022623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(5)</w:t>
      </w:r>
      <w:r w:rsidR="00226230">
        <w:rPr>
          <w:rFonts w:ascii="Georgia" w:hAnsi="Georgia"/>
          <w:sz w:val="24"/>
          <w:szCs w:val="24"/>
        </w:rPr>
        <w:fldChar w:fldCharType="end"/>
      </w:r>
      <w:r w:rsidRPr="009C6530">
        <w:rPr>
          <w:rFonts w:ascii="Georgia" w:hAnsi="Georgia"/>
          <w:sz w:val="24"/>
          <w:szCs w:val="24"/>
        </w:rPr>
        <w:t xml:space="preserve"> and ABI/SOLiD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226230">
        <w:rPr>
          <w:rFonts w:ascii="Georgia" w:hAnsi="Georgia"/>
          <w:sz w:val="24"/>
          <w:szCs w:val="24"/>
        </w:rPr>
        <w:fldChar w:fldCharType="separate"/>
      </w:r>
      <w:r w:rsidR="001B4144">
        <w:rPr>
          <w:rFonts w:ascii="Georgia" w:hAnsi="Georgia"/>
          <w:sz w:val="24"/>
          <w:szCs w:val="24"/>
        </w:rPr>
        <w:t>(6)</w:t>
      </w:r>
      <w:r w:rsidR="00226230">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F14A20" w:rsidRDefault="00463AB6" w:rsidP="003308E3">
      <w:pPr>
        <w:spacing w:before="120"/>
        <w:rPr>
          <w:rFonts w:ascii="Georgia" w:hAnsi="Georgia"/>
          <w:sz w:val="24"/>
          <w:szCs w:val="24"/>
        </w:rPr>
      </w:pPr>
      <w:r>
        <w:rPr>
          <w:rFonts w:ascii="Georgia" w:hAnsi="Georgia"/>
          <w:sz w:val="24"/>
          <w:szCs w:val="24"/>
        </w:rPr>
        <w:lastRenderedPageBreak/>
        <w:t xml:space="preserve">A common refrain among adaptors of this technology is that the costs of downstream bioinformatics analysis are often poorly understood and tend to be underestimated. This study aims to reduce those ‘hidden costs’ by providing a free tool for accomplishing the entirety of common tasks </w:t>
      </w:r>
      <w:r w:rsidR="009C637A">
        <w:rPr>
          <w:rFonts w:ascii="Georgia" w:hAnsi="Georgia"/>
          <w:sz w:val="24"/>
          <w:szCs w:val="24"/>
        </w:rPr>
        <w:t xml:space="preserve">in NextGen sequence analysis. Extensive training for users will not be required as most researchers and laboratory staff will be accustomed to navigating web pages and using </w:t>
      </w:r>
    </w:p>
    <w:p w:rsidR="009C637A" w:rsidRPr="009C6530" w:rsidRDefault="009C637A" w:rsidP="003308E3">
      <w:pPr>
        <w:spacing w:before="120"/>
        <w:rPr>
          <w:rFonts w:ascii="Georgia" w:hAnsi="Georgia"/>
          <w:sz w:val="24"/>
          <w:szCs w:val="24"/>
        </w:rPr>
      </w:pPr>
    </w:p>
    <w:p w:rsidR="00D737BE" w:rsidRPr="00B16F5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(7)</w:t>
      </w:r>
      <w:r w:rsidR="00226230">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10,000</w:t>
      </w:r>
      <w:r w:rsidR="00091BFD">
        <w:rPr>
          <w:rFonts w:ascii="Georgia" w:hAnsi="Georgia" w:cs="TradeGothic-BoldTwo"/>
          <w:bCs/>
          <w:sz w:val="24"/>
          <w:szCs w:val="24"/>
        </w:rPr>
        <w:t>-fold</w:t>
      </w:r>
      <w:r w:rsidR="00D737BE" w:rsidRPr="009C6530">
        <w:rPr>
          <w:rFonts w:ascii="Georgia" w:hAnsi="Georgia" w:cs="TradeGothic-BoldTwo"/>
          <w:bCs/>
          <w:sz w:val="24"/>
          <w:szCs w:val="24"/>
        </w:rPr>
        <w:t xml:space="preserve"> enrichment by hybridizing biotinylated BACs (bacterial artificial chromosomes) with targeted segments of genomic DNA </w:t>
      </w:r>
      <w:r w:rsidR="0022623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226230">
        <w:rPr>
          <w:rFonts w:ascii="Georgia" w:hAnsi="Georgia" w:cs="TradeGothic-BoldTwo"/>
          <w:bCs/>
          <w:sz w:val="24"/>
          <w:szCs w:val="24"/>
        </w:rPr>
        <w:fldChar w:fldCharType="separate"/>
      </w:r>
      <w:r w:rsidR="001B4144">
        <w:rPr>
          <w:rFonts w:ascii="Georgia" w:hAnsi="Georgia" w:cs="TradeGothic-BoldTwo"/>
          <w:bCs/>
          <w:sz w:val="24"/>
          <w:szCs w:val="24"/>
        </w:rPr>
        <w:t>(8)</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22623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22623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226230">
        <w:rPr>
          <w:rFonts w:ascii="Georgia" w:hAnsi="Georgia" w:cs="TradeGothic-BoldTwo"/>
          <w:bCs/>
          <w:sz w:val="24"/>
          <w:szCs w:val="24"/>
        </w:rPr>
      </w:r>
      <w:r w:rsidR="00226230">
        <w:rPr>
          <w:rFonts w:ascii="Georgia" w:hAnsi="Georgia" w:cs="TradeGothic-BoldTwo"/>
          <w:bCs/>
          <w:sz w:val="24"/>
          <w:szCs w:val="24"/>
        </w:rPr>
        <w:fldChar w:fldCharType="end"/>
      </w:r>
      <w:r w:rsidR="00226230">
        <w:rPr>
          <w:rFonts w:ascii="Georgia" w:hAnsi="Georgia" w:cs="TradeGothic-BoldTwo"/>
          <w:bCs/>
          <w:sz w:val="24"/>
          <w:szCs w:val="24"/>
        </w:rPr>
      </w:r>
      <w:r w:rsidR="00226230">
        <w:rPr>
          <w:rFonts w:ascii="Georgia" w:hAnsi="Georgia" w:cs="TradeGothic-BoldTwo"/>
          <w:bCs/>
          <w:sz w:val="24"/>
          <w:szCs w:val="24"/>
        </w:rPr>
        <w:fldChar w:fldCharType="separate"/>
      </w:r>
      <w:r w:rsidR="001B4144">
        <w:rPr>
          <w:rFonts w:ascii="Georgia" w:hAnsi="Georgia" w:cs="TradeGothic-BoldTwo"/>
          <w:bCs/>
          <w:sz w:val="24"/>
          <w:szCs w:val="24"/>
        </w:rPr>
        <w:t>(9)</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22623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226230">
        <w:rPr>
          <w:rFonts w:ascii="Georgia" w:hAnsi="Georgia" w:cs="TradeGothic-BoldTwo"/>
          <w:bCs/>
          <w:sz w:val="24"/>
          <w:szCs w:val="24"/>
        </w:rPr>
        <w:fldChar w:fldCharType="separate"/>
      </w:r>
      <w:r w:rsidR="001B4144">
        <w:rPr>
          <w:rFonts w:ascii="Georgia" w:hAnsi="Georgia" w:cs="TradeGothic-BoldTwo"/>
          <w:bCs/>
          <w:sz w:val="24"/>
          <w:szCs w:val="24"/>
        </w:rPr>
        <w:t>(10)</w:t>
      </w:r>
      <w:r w:rsidR="00226230">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B16F50">
        <w:rPr>
          <w:rFonts w:ascii="Georgia" w:hAnsi="Georgia" w:cs="TradeGothic-BoldTwo"/>
          <w:bCs/>
          <w:sz w:val="24"/>
          <w:szCs w:val="24"/>
        </w:rPr>
        <w:t xml:space="preserve">Two commercial capture </w:t>
      </w:r>
      <w:r w:rsidR="00B16F50">
        <w:rPr>
          <w:rFonts w:ascii="Georgia" w:hAnsi="Georgia" w:cs="TradeGothic-BoldTwo"/>
          <w:bCs/>
          <w:sz w:val="24"/>
          <w:szCs w:val="24"/>
        </w:rPr>
        <w:t>methods are currently available from</w:t>
      </w:r>
      <w:r w:rsidR="008E696E" w:rsidRPr="00B16F50">
        <w:rPr>
          <w:rFonts w:ascii="Georgia" w:hAnsi="Georgia" w:cs="TradeGothic-BoldTwo"/>
          <w:bCs/>
          <w:sz w:val="24"/>
          <w:szCs w:val="24"/>
        </w:rPr>
        <w:t xml:space="preserve"> Nimblegen and </w:t>
      </w:r>
      <w:r w:rsidR="00990DD8" w:rsidRPr="00B16F50">
        <w:rPr>
          <w:rFonts w:ascii="Georgia" w:hAnsi="Georgia" w:cs="TradeGothic-BoldTwo"/>
          <w:bCs/>
          <w:sz w:val="24"/>
          <w:szCs w:val="24"/>
        </w:rPr>
        <w:t>Agilent.</w:t>
      </w:r>
    </w:p>
    <w:p w:rsidR="00416C92" w:rsidRPr="009C6530" w:rsidRDefault="00A51A00" w:rsidP="003308E3">
      <w:pPr>
        <w:pStyle w:val="NormalWeb"/>
        <w:spacing w:before="120" w:beforeAutospacing="0"/>
        <w:rPr>
          <w:rFonts w:ascii="Georgia" w:hAnsi="Georgia"/>
        </w:rPr>
      </w:pPr>
      <w:r w:rsidRPr="00226230">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8"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lastRenderedPageBreak/>
        <w:t>3G Technologies</w:t>
      </w:r>
      <w:r w:rsidR="00F81419" w:rsidRPr="009C6530">
        <w:rPr>
          <w:rFonts w:ascii="Georgia" w:hAnsi="Georgia"/>
          <w:b/>
        </w:rPr>
        <w:t> </w:t>
      </w:r>
    </w:p>
    <w:p w:rsidR="00463AB6"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9"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0"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1"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2"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226230">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cs="JansonText-Roman"/>
          <w:sz w:val="24"/>
          <w:szCs w:val="24"/>
        </w:rPr>
        <w:fldChar w:fldCharType="separate"/>
      </w:r>
      <w:r w:rsidR="001B4144">
        <w:rPr>
          <w:rFonts w:ascii="Georgia" w:hAnsi="Georgia" w:cs="JansonText-Roman"/>
          <w:sz w:val="24"/>
          <w:szCs w:val="24"/>
        </w:rPr>
        <w:t>(7)</w:t>
      </w:r>
      <w:r w:rsidR="00226230">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226230">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226230">
        <w:rPr>
          <w:rFonts w:ascii="Georgia" w:hAnsi="Georgia" w:cs="Arial"/>
          <w:sz w:val="24"/>
          <w:szCs w:val="24"/>
        </w:rPr>
        <w:fldChar w:fldCharType="separate"/>
      </w:r>
      <w:r w:rsidR="001B4144">
        <w:rPr>
          <w:rFonts w:ascii="Georgia" w:hAnsi="Georgia" w:cs="Arial"/>
          <w:sz w:val="24"/>
          <w:szCs w:val="24"/>
        </w:rPr>
        <w:t>(11)</w:t>
      </w:r>
      <w:r w:rsidR="00226230">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22623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(12)</w:t>
      </w:r>
      <w:r w:rsidR="00226230">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226230">
        <w:rPr>
          <w:rFonts w:ascii="Georgia" w:hAnsi="Georgia"/>
          <w:sz w:val="24"/>
          <w:szCs w:val="24"/>
        </w:rPr>
        <w:fldChar w:fldCharType="separate"/>
      </w:r>
      <w:r w:rsidR="001B4144">
        <w:rPr>
          <w:rFonts w:ascii="Georgia" w:hAnsi="Georgia"/>
          <w:sz w:val="24"/>
          <w:szCs w:val="24"/>
        </w:rPr>
        <w:t>(13)</w:t>
      </w:r>
      <w:r w:rsidR="00226230">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22623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22623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226230">
        <w:rPr>
          <w:rFonts w:ascii="Georgia" w:hAnsi="Georgia"/>
          <w:sz w:val="24"/>
          <w:szCs w:val="24"/>
        </w:rPr>
      </w:r>
      <w:r w:rsidR="00226230">
        <w:rPr>
          <w:rFonts w:ascii="Georgia" w:hAnsi="Georgia"/>
          <w:sz w:val="24"/>
          <w:szCs w:val="24"/>
        </w:rPr>
        <w:fldChar w:fldCharType="end"/>
      </w:r>
      <w:r w:rsidR="00226230">
        <w:rPr>
          <w:rFonts w:ascii="Georgia" w:hAnsi="Georgia"/>
          <w:sz w:val="24"/>
          <w:szCs w:val="24"/>
        </w:rPr>
      </w:r>
      <w:r w:rsidR="00226230">
        <w:rPr>
          <w:rFonts w:ascii="Georgia" w:hAnsi="Georgia"/>
          <w:sz w:val="24"/>
          <w:szCs w:val="24"/>
        </w:rPr>
        <w:fldChar w:fldCharType="separate"/>
      </w:r>
      <w:r w:rsidR="001B4144">
        <w:rPr>
          <w:rFonts w:ascii="Georgia" w:hAnsi="Georgia"/>
          <w:sz w:val="24"/>
          <w:szCs w:val="24"/>
        </w:rPr>
        <w:t>(14)</w:t>
      </w:r>
      <w:r w:rsidR="00226230">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22623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22623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226230">
        <w:rPr>
          <w:rFonts w:ascii="Georgia" w:hAnsi="Georgia" w:cs="Arial"/>
          <w:sz w:val="24"/>
          <w:szCs w:val="24"/>
        </w:rPr>
      </w:r>
      <w:r w:rsidR="00226230">
        <w:rPr>
          <w:rFonts w:ascii="Georgia" w:hAnsi="Georgia" w:cs="Arial"/>
          <w:sz w:val="24"/>
          <w:szCs w:val="24"/>
        </w:rPr>
        <w:fldChar w:fldCharType="end"/>
      </w:r>
      <w:r w:rsidR="00226230">
        <w:rPr>
          <w:rFonts w:ascii="Georgia" w:hAnsi="Georgia" w:cs="Arial"/>
          <w:sz w:val="24"/>
          <w:szCs w:val="24"/>
        </w:rPr>
      </w:r>
      <w:r w:rsidR="00226230">
        <w:rPr>
          <w:rFonts w:ascii="Georgia" w:hAnsi="Georgia" w:cs="Arial"/>
          <w:sz w:val="24"/>
          <w:szCs w:val="24"/>
        </w:rPr>
        <w:fldChar w:fldCharType="separate"/>
      </w:r>
      <w:r w:rsidR="001B4144">
        <w:rPr>
          <w:rFonts w:ascii="Georgia" w:hAnsi="Georgia" w:cs="Arial"/>
          <w:sz w:val="24"/>
          <w:szCs w:val="24"/>
        </w:rPr>
        <w:t>(15)</w:t>
      </w:r>
      <w:r w:rsidR="00226230">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22623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22623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226230">
        <w:rPr>
          <w:rFonts w:ascii="Georgia" w:hAnsi="Georgia" w:cs="Arial"/>
          <w:sz w:val="24"/>
          <w:szCs w:val="24"/>
        </w:rPr>
      </w:r>
      <w:r w:rsidR="00226230">
        <w:rPr>
          <w:rFonts w:ascii="Georgia" w:hAnsi="Georgia" w:cs="Arial"/>
          <w:sz w:val="24"/>
          <w:szCs w:val="24"/>
        </w:rPr>
        <w:fldChar w:fldCharType="end"/>
      </w:r>
      <w:r w:rsidR="00226230">
        <w:rPr>
          <w:rFonts w:ascii="Georgia" w:hAnsi="Georgia" w:cs="Arial"/>
          <w:sz w:val="24"/>
          <w:szCs w:val="24"/>
        </w:rPr>
      </w:r>
      <w:r w:rsidR="00226230">
        <w:rPr>
          <w:rFonts w:ascii="Georgia" w:hAnsi="Georgia" w:cs="Arial"/>
          <w:sz w:val="24"/>
          <w:szCs w:val="24"/>
        </w:rPr>
        <w:fldChar w:fldCharType="separate"/>
      </w:r>
      <w:r w:rsidR="001B4144">
        <w:rPr>
          <w:rFonts w:ascii="Georgia" w:hAnsi="Georgia" w:cs="Arial"/>
          <w:sz w:val="24"/>
          <w:szCs w:val="24"/>
        </w:rPr>
        <w:t>(16, 17)</w:t>
      </w:r>
      <w:r w:rsidR="00226230">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(18)</w:t>
      </w:r>
      <w:r w:rsidR="00226230">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(19)</w:t>
      </w:r>
      <w:r w:rsidR="00226230">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lastRenderedPageBreak/>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w:t>
      </w:r>
      <w:r w:rsidR="0011185E">
        <w:rPr>
          <w:rFonts w:ascii="Georgia" w:hAnsi="Georgia"/>
          <w:sz w:val="24"/>
          <w:szCs w:val="24"/>
        </w:rPr>
        <w:t xml:space="preserve">where </w:t>
      </w:r>
      <w:r w:rsidRPr="009C6530">
        <w:rPr>
          <w:rFonts w:ascii="Georgia" w:hAnsi="Georgia"/>
          <w:sz w:val="24"/>
          <w:szCs w:val="24"/>
        </w:rPr>
        <w:t>currently available software</w:t>
      </w:r>
      <w:r w:rsidR="0011185E">
        <w:rPr>
          <w:rFonts w:ascii="Georgia" w:hAnsi="Georgia"/>
          <w:sz w:val="24"/>
          <w:szCs w:val="24"/>
        </w:rPr>
        <w:t xml:space="preserve"> performs poorly</w:t>
      </w:r>
      <w:r w:rsidRPr="009C6530">
        <w:rPr>
          <w:rFonts w:ascii="Georgia" w:hAnsi="Georgia"/>
          <w:sz w:val="24"/>
          <w:szCs w:val="24"/>
        </w:rPr>
        <w:t xml:space="preserv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(20)</w:t>
      </w:r>
      <w:r w:rsidR="00226230">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(21)</w:t>
      </w:r>
      <w:r w:rsidR="0022623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(22)</w:t>
      </w:r>
      <w:r w:rsidR="00226230">
        <w:rPr>
          <w:rFonts w:ascii="Georgia" w:hAnsi="Georgia"/>
          <w:sz w:val="24"/>
          <w:szCs w:val="24"/>
        </w:rPr>
        <w:fldChar w:fldCharType="end"/>
      </w:r>
      <w:r w:rsidR="00F72B00"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(23)</w:t>
      </w:r>
      <w:r w:rsidR="0022623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(24)</w:t>
      </w:r>
      <w:r w:rsidR="0022623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(25)</w:t>
      </w:r>
      <w:r w:rsidR="0022623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(26)</w:t>
      </w:r>
      <w:r w:rsidR="0022623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(27)</w:t>
      </w:r>
      <w:r w:rsidR="0022623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(28)</w:t>
      </w:r>
      <w:r w:rsidR="0022623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3F2DF7"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p>
    <w:p w:rsidR="00E34A5C" w:rsidRDefault="007F0642" w:rsidP="003308E3">
      <w:pPr>
        <w:spacing w:before="120"/>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(7)</w:t>
      </w:r>
      <w:r w:rsidR="00226230">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w:t>
      </w:r>
      <w:r w:rsidR="00DF13CB" w:rsidRPr="009C6530">
        <w:rPr>
          <w:rFonts w:ascii="Georgia" w:hAnsi="Georgia"/>
          <w:sz w:val="24"/>
          <w:szCs w:val="24"/>
        </w:rPr>
        <w:lastRenderedPageBreak/>
        <w:t xml:space="preserve">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w:t>
      </w:r>
      <w:r w:rsidR="003F2DF7">
        <w:rPr>
          <w:rFonts w:ascii="Georgia" w:hAnsi="Georgia"/>
          <w:sz w:val="24"/>
          <w:szCs w:val="24"/>
        </w:rPr>
        <w:t>see Figure 2)</w:t>
      </w:r>
      <w:r w:rsidR="0093670F">
        <w:rPr>
          <w:rFonts w:ascii="Georgia" w:hAnsi="Georgia"/>
          <w:sz w:val="24"/>
          <w:szCs w:val="24"/>
        </w:rPr>
        <w:t>.</w:t>
      </w:r>
    </w:p>
    <w:p w:rsidR="003F2DF7" w:rsidRDefault="00A51A00" w:rsidP="003308E3">
      <w:pPr>
        <w:spacing w:before="120"/>
        <w:rPr>
          <w:rFonts w:ascii="Georgia" w:hAnsi="Georgia"/>
          <w:sz w:val="24"/>
          <w:szCs w:val="24"/>
        </w:rPr>
      </w:pPr>
      <w:r w:rsidRPr="00226230">
        <w:rPr>
          <w:rFonts w:ascii="Georgia" w:hAnsi="Georgia"/>
          <w:sz w:val="24"/>
          <w:szCs w:val="24"/>
        </w:rPr>
        <w:pict>
          <v:shape id="_x0000_i1026" type="#_x0000_t75" style="width:540pt;height:372pt">
            <v:imagedata r:id="rId14" o:title="genome-viewers-and-workflow-tools-v1"/>
          </v:shape>
        </w:pict>
      </w:r>
    </w:p>
    <w:p w:rsidR="003F2DF7" w:rsidRDefault="003F2DF7" w:rsidP="003F2DF7">
      <w:pPr>
        <w:spacing w:before="120"/>
        <w:jc w:val="center"/>
        <w:rPr>
          <w:rFonts w:ascii="Georgia" w:hAnsi="Georgia"/>
          <w:sz w:val="24"/>
          <w:szCs w:val="24"/>
        </w:rPr>
      </w:pPr>
      <w:r>
        <w:rPr>
          <w:rFonts w:ascii="Georgia" w:hAnsi="Georgia"/>
          <w:sz w:val="24"/>
          <w:szCs w:val="24"/>
        </w:rPr>
        <w:t>Figure 2. A comparison of genome viewer and bioinformatics workflow tool functionality.</w:t>
      </w:r>
    </w:p>
    <w:p w:rsidR="003F2DF7" w:rsidRPr="003F2DF7" w:rsidRDefault="003F2DF7" w:rsidP="003308E3">
      <w:pPr>
        <w:spacing w:before="120"/>
        <w:rPr>
          <w:rFonts w:ascii="Georgia" w:hAnsi="Georgia"/>
          <w:sz w:val="24"/>
          <w:szCs w:val="24"/>
        </w:rPr>
      </w:pPr>
    </w:p>
    <w:p w:rsidR="003F2DF7" w:rsidRDefault="004A0C98" w:rsidP="003308E3">
      <w:pPr>
        <w:spacing w:before="120"/>
        <w:rPr>
          <w:rFonts w:ascii="Georgia" w:hAnsi="Georgia"/>
          <w:sz w:val="24"/>
          <w:szCs w:val="24"/>
        </w:rPr>
      </w:pPr>
      <w:r>
        <w:rPr>
          <w:rFonts w:ascii="Georgia" w:hAnsi="Georgia"/>
          <w:sz w:val="24"/>
          <w:szCs w:val="24"/>
        </w:rPr>
        <w:t xml:space="preserve">At the other end of the spectrum,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r w:rsidR="00187A1C">
        <w:rPr>
          <w:rFonts w:ascii="Georgia" w:hAnsi="Georgia"/>
          <w:sz w:val="24"/>
          <w:szCs w:val="24"/>
        </w:rPr>
        <w:t xml:space="preserve"> Bioinformatics web sites are commonly basic GUIs with limited or </w:t>
      </w:r>
      <w:r w:rsidR="009D346B">
        <w:rPr>
          <w:rFonts w:ascii="Georgia" w:hAnsi="Georgia"/>
          <w:sz w:val="24"/>
          <w:szCs w:val="24"/>
        </w:rPr>
        <w:t>no similarity of usage between different sites</w:t>
      </w:r>
      <w:r w:rsidR="003F2DF7">
        <w:rPr>
          <w:rFonts w:ascii="Georgia" w:hAnsi="Georgia"/>
          <w:sz w:val="24"/>
          <w:szCs w:val="24"/>
        </w:rPr>
        <w:t xml:space="preserve">. </w:t>
      </w:r>
    </w:p>
    <w:p w:rsidR="00DD2FCB" w:rsidRDefault="003F2DF7" w:rsidP="003308E3">
      <w:pPr>
        <w:spacing w:before="120"/>
        <w:rPr>
          <w:rFonts w:ascii="Georgia" w:hAnsi="Georgia"/>
          <w:sz w:val="24"/>
          <w:szCs w:val="24"/>
        </w:rPr>
      </w:pPr>
      <w:r>
        <w:rPr>
          <w:rFonts w:ascii="Georgia" w:hAnsi="Georgia"/>
          <w:sz w:val="24"/>
          <w:szCs w:val="24"/>
        </w:rPr>
        <w:t xml:space="preserve">This study </w:t>
      </w:r>
    </w:p>
    <w:p w:rsidR="00F47620" w:rsidRDefault="00F47620" w:rsidP="00C751BC">
      <w:pPr>
        <w:spacing w:before="120"/>
        <w:rPr>
          <w:rFonts w:ascii="Georgia" w:hAnsi="Georgia"/>
          <w:sz w:val="24"/>
          <w:szCs w:val="24"/>
        </w:rPr>
      </w:pPr>
    </w:p>
    <w:p w:rsidR="00F47620" w:rsidRDefault="00F47620" w:rsidP="00C751BC">
      <w:pPr>
        <w:spacing w:before="120"/>
        <w:rPr>
          <w:rFonts w:ascii="Georgia" w:hAnsi="Georgia"/>
          <w:sz w:val="24"/>
          <w:szCs w:val="24"/>
        </w:rPr>
      </w:pPr>
      <w:r>
        <w:rPr>
          <w:rFonts w:ascii="Georgia" w:hAnsi="Georgia"/>
          <w:sz w:val="24"/>
          <w:szCs w:val="24"/>
        </w:rPr>
        <w:t>Bare, 2007 Firegoose</w:t>
      </w:r>
    </w:p>
    <w:p w:rsidR="00F47620" w:rsidRDefault="00F47620" w:rsidP="00F47620">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Comparison with workflow software</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Firegoose, along with the Gaggle framework, shares several</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features in common with workflow tools such as Taverna[</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30,31]. They share the strategy of composing distinct</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programs and data sources to build larger systems with</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rich capabilities. To this end, both Firegoose and workflow</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tools benefit greatly from the availability of programmatic</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access to structured data and computational services</w:t>
      </w:r>
    </w:p>
    <w:p w:rsidR="00953888" w:rsidRDefault="00F47620"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over common web protocols</w:t>
      </w:r>
      <w:r w:rsidR="00953888">
        <w:rPr>
          <w:rFonts w:ascii="Giovanni-Book" w:hAnsi="Giovanni-Book" w:cs="Giovanni-Book"/>
          <w:sz w:val="19"/>
          <w:szCs w:val="19"/>
        </w:rPr>
        <w:t>.</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 Workflow tools enable a user to automate a well-defined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repeatable process, often using web services or message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queues for interprocess communication. But, before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well-defined analysis process exists, there is a need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exploratory analysis, which is necessarily ad-hoc.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the Firegoose seek to enable this kind of interactive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exploration by exploiting the flexibility of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in combination with desktop analysis and visualization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Scripting an interaction with a web site is,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course, possible using a browser extension, but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emphasis in the Firegoose is on automating the exchange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data, leaving the direction of the analysis up to the user.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difference in emphasis does not rule out using workflow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engines and Firegoose together. Invoking workflows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on a remote server from within Firegoose is one potentially</w:t>
      </w:r>
    </w:p>
    <w:p w:rsidR="00F47620" w:rsidRDefault="00953888" w:rsidP="00953888">
      <w:pPr>
        <w:spacing w:before="120"/>
        <w:rPr>
          <w:rFonts w:ascii="Giovanni-Book" w:hAnsi="Giovanni-Book" w:cs="Giovanni-Book"/>
          <w:sz w:val="19"/>
          <w:szCs w:val="19"/>
        </w:rPr>
      </w:pPr>
      <w:r>
        <w:rPr>
          <w:rFonts w:ascii="Giovanni-Book" w:hAnsi="Giovanni-Book" w:cs="Giovanni-Book"/>
          <w:sz w:val="19"/>
          <w:szCs w:val="19"/>
        </w:rPr>
        <w:t>valuable example.</w:t>
      </w:r>
    </w:p>
    <w:p w:rsidR="00953888" w:rsidRDefault="00953888" w:rsidP="00F47620">
      <w:pPr>
        <w:spacing w:before="120"/>
        <w:rPr>
          <w:rFonts w:ascii="Giovanni-Book" w:hAnsi="Giovanni-Book" w:cs="Giovanni-Book"/>
          <w:sz w:val="19"/>
          <w:szCs w:val="19"/>
        </w:rPr>
      </w:pPr>
    </w:p>
    <w:p w:rsidR="00953888" w:rsidRDefault="00953888" w:rsidP="00953888">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Future Work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Additional functionality could be added 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 a number of ways, most easily through the addition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more handlers for biological websites. We also considered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that users might want to develop their own handler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scripts. We prototyped code for dynamically importing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custom scripts into the Firegoose. Other projects such 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Greasemonkey [8] have had success with similar capabilities.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further developed, this feature would allow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mechanism for users or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contribute scripts.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Supporting the RMI communications protocol requires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Using Java within a Firefox extension is something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challenge and code from MIT's Simile project [9] was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extremely helpful in this area. An alternative under consideration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to communicate with the Boss using an XML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based protocol over sockets eliminating the need to run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virtual machine in the browser's process.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 plan to extend the Gaggle microformat to express links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 data in addition to embedding data directly in the page.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large data structures to be transmitted independently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the page while preserving the linkage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presentation in the browser and the underlying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structured data. A standard format would decrease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need for customized coding for each web 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RDF (Resource Description Framework) is a data model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designed to represent meta-data for Semantic Web applications.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Incorporating support for RDF into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would allow the Gaggle to exchange data with the semantically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rich resources envisioned by proponents of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Semantic Web project.</w:t>
      </w:r>
    </w:p>
    <w:p w:rsidR="00E31396" w:rsidRDefault="00E31396"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Conclusion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Browsers excel at search and navigation. Using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 to another as well as between the web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from diverse sources into a compatible format. Using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A51C75" w:rsidRDefault="00A51C75" w:rsidP="00953888">
      <w:pPr>
        <w:autoSpaceDE w:val="0"/>
        <w:autoSpaceDN w:val="0"/>
        <w:adjustRightInd w:val="0"/>
        <w:rPr>
          <w:rFonts w:ascii="GillSans-Bold" w:hAnsi="GillSans-Bold" w:cs="GillSans-Bold"/>
          <w:b/>
          <w:bCs/>
          <w:sz w:val="21"/>
          <w:szCs w:val="21"/>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Availability and requirements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Source code for the Firegoose, along with that of the other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components of the Gaggle, is available at the Gaggle website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[32]. Also available are instructions for installing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uninstalling the Firegoose toolbar [33] and documentation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[34]. Most of the desktop components of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The source code is distributed under the GNU Lesser General</w:t>
      </w: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Public License, the text of which is available at: http:/</w:t>
      </w:r>
    </w:p>
    <w:p w:rsidR="00953888" w:rsidRPr="00953888" w:rsidRDefault="00953888" w:rsidP="00953888">
      <w:pPr>
        <w:autoSpaceDE w:val="0"/>
        <w:autoSpaceDN w:val="0"/>
        <w:adjustRightInd w:val="0"/>
        <w:rPr>
          <w:rFonts w:ascii="GillSans-Bold" w:hAnsi="GillSans-Bold" w:cs="GillSans-Bold"/>
          <w:b/>
          <w:bCs/>
          <w:sz w:val="21"/>
          <w:szCs w:val="21"/>
        </w:rPr>
      </w:pPr>
      <w:r w:rsidRPr="00953888">
        <w:rPr>
          <w:rFonts w:ascii="Giovanni-Book" w:hAnsi="Giovanni-Book" w:cs="Giovanni-Book"/>
          <w:b/>
          <w:sz w:val="19"/>
          <w:szCs w:val="19"/>
        </w:rPr>
        <w:t>/www.gnu.org/copyleft/lesser.html.</w:t>
      </w:r>
    </w:p>
    <w:p w:rsidR="00953888" w:rsidRDefault="00953888" w:rsidP="00F47620">
      <w:pPr>
        <w:spacing w:before="120"/>
        <w:rPr>
          <w:rFonts w:ascii="Georgia" w:hAnsi="Georgia"/>
          <w:sz w:val="24"/>
          <w:szCs w:val="24"/>
        </w:rPr>
      </w:pPr>
    </w:p>
    <w:p w:rsidR="00AD36C7" w:rsidRDefault="000941FE" w:rsidP="00F47620">
      <w:pPr>
        <w:spacing w:before="120"/>
        <w:rPr>
          <w:rFonts w:ascii="Georgia" w:hAnsi="Georgia"/>
          <w:sz w:val="24"/>
          <w:szCs w:val="24"/>
        </w:rPr>
      </w:pPr>
      <w:r>
        <w:rPr>
          <w:rFonts w:ascii="Georgia" w:hAnsi="Georgia"/>
          <w:sz w:val="24"/>
          <w:szCs w:val="24"/>
        </w:rPr>
        <w:t>Firegoose download</w:t>
      </w:r>
    </w:p>
    <w:p w:rsidR="00AD36C7" w:rsidRDefault="00226230" w:rsidP="00F47620">
      <w:pPr>
        <w:spacing w:before="120"/>
        <w:rPr>
          <w:rFonts w:ascii="GillSans" w:hAnsi="GillSans" w:cs="GillSans"/>
          <w:sz w:val="16"/>
          <w:szCs w:val="16"/>
        </w:rPr>
      </w:pPr>
      <w:hyperlink r:id="rId15" w:history="1">
        <w:r w:rsidR="000941FE" w:rsidRPr="00E70CC7">
          <w:rPr>
            <w:rStyle w:val="Hyperlink"/>
            <w:rFonts w:ascii="GillSans" w:hAnsi="GillSans" w:cs="GillSans"/>
            <w:sz w:val="16"/>
            <w:szCs w:val="16"/>
          </w:rPr>
          <w:t>http://gaggle.systemsbiology.net/docs/geese/firegoose/</w:t>
        </w:r>
      </w:hyperlink>
    </w:p>
    <w:p w:rsidR="000941FE" w:rsidRDefault="000941FE" w:rsidP="00F47620">
      <w:pPr>
        <w:spacing w:before="120"/>
        <w:rPr>
          <w:rFonts w:ascii="GillSans" w:hAnsi="GillSans" w:cs="GillSans"/>
          <w:sz w:val="16"/>
          <w:szCs w:val="16"/>
        </w:rPr>
      </w:pPr>
    </w:p>
    <w:p w:rsidR="0084198D" w:rsidRDefault="0084198D" w:rsidP="00F47620">
      <w:pPr>
        <w:spacing w:before="120"/>
        <w:rPr>
          <w:rFonts w:ascii="GillSans" w:hAnsi="GillSans" w:cs="GillSans"/>
          <w:sz w:val="16"/>
          <w:szCs w:val="16"/>
        </w:rPr>
      </w:pPr>
    </w:p>
    <w:p w:rsidR="002A5CD4" w:rsidRDefault="0068083F" w:rsidP="00F47620">
      <w:pPr>
        <w:spacing w:before="120"/>
        <w:rPr>
          <w:rFonts w:ascii="GillSans" w:hAnsi="GillSans" w:cs="GillSans"/>
          <w:sz w:val="16"/>
          <w:szCs w:val="16"/>
        </w:rPr>
      </w:pPr>
      <w:r>
        <w:rPr>
          <w:rFonts w:ascii="GillSans" w:hAnsi="GillSans" w:cs="GillSans"/>
          <w:sz w:val="16"/>
          <w:szCs w:val="16"/>
        </w:rPr>
        <w:t>Creating a bioinformatics nation</w:t>
      </w:r>
    </w:p>
    <w:p w:rsidR="0068083F" w:rsidRDefault="00226230" w:rsidP="00F47620">
      <w:pPr>
        <w:spacing w:before="120"/>
        <w:rPr>
          <w:rFonts w:ascii="GillSans" w:hAnsi="GillSans" w:cs="GillSans"/>
          <w:sz w:val="16"/>
          <w:szCs w:val="16"/>
        </w:rPr>
      </w:pPr>
      <w:hyperlink r:id="rId16" w:history="1">
        <w:r w:rsidR="0068083F" w:rsidRPr="00AE57D1">
          <w:rPr>
            <w:rStyle w:val="Hyperlink"/>
            <w:rFonts w:ascii="GillSans" w:hAnsi="GillSans" w:cs="GillSans"/>
            <w:sz w:val="16"/>
            <w:szCs w:val="16"/>
          </w:rPr>
          <w:t>http://www.nature.com/nature/journal/v417/n6885/full/417119a.html</w:t>
        </w:r>
      </w:hyperlink>
    </w:p>
    <w:p w:rsidR="0068083F" w:rsidRDefault="0068083F" w:rsidP="00F47620">
      <w:pPr>
        <w:spacing w:before="120"/>
        <w:rPr>
          <w:rFonts w:ascii="GillSans" w:hAnsi="GillSans" w:cs="GillSans"/>
          <w:sz w:val="16"/>
          <w:szCs w:val="16"/>
        </w:rPr>
      </w:pPr>
    </w:p>
    <w:p w:rsidR="0068083F" w:rsidRDefault="00BD64B2" w:rsidP="00F47620">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BD64B2" w:rsidRDefault="00BD64B2" w:rsidP="00F47620">
      <w:pPr>
        <w:spacing w:before="120"/>
        <w:rPr>
          <w:rFonts w:ascii="GillSans" w:hAnsi="GillSans" w:cs="GillSans"/>
          <w:sz w:val="16"/>
          <w:szCs w:val="16"/>
        </w:rPr>
      </w:pPr>
    </w:p>
    <w:p w:rsidR="00BD64B2" w:rsidRDefault="00BD64B2" w:rsidP="00F47620">
      <w:pPr>
        <w:spacing w:before="120"/>
        <w:rPr>
          <w:rFonts w:ascii="GillSans" w:hAnsi="GillSans" w:cs="GillSans"/>
          <w:sz w:val="16"/>
          <w:szCs w:val="16"/>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8F60CC" w:rsidRDefault="008F60CC" w:rsidP="00F47620">
      <w:pPr>
        <w:spacing w:before="120"/>
        <w:rPr>
          <w:rFonts w:ascii="GillSans" w:hAnsi="GillSans" w:cs="GillSans"/>
          <w:sz w:val="16"/>
          <w:szCs w:val="16"/>
        </w:rPr>
      </w:pPr>
    </w:p>
    <w:p w:rsidR="00556093" w:rsidRPr="008F60CC" w:rsidRDefault="00556093" w:rsidP="008F60CC">
      <w:pPr>
        <w:numPr>
          <w:ilvl w:val="1"/>
          <w:numId w:val="12"/>
        </w:numPr>
        <w:tabs>
          <w:tab w:val="clear" w:pos="1440"/>
          <w:tab w:val="left" w:pos="715"/>
        </w:tabs>
        <w:spacing w:before="120"/>
        <w:rPr>
          <w:rFonts w:ascii="GillSans" w:hAnsi="GillSans" w:cs="GillSans"/>
          <w:sz w:val="16"/>
          <w:szCs w:val="16"/>
        </w:rPr>
      </w:pPr>
      <w:r w:rsidRPr="008F60CC">
        <w:rPr>
          <w:rFonts w:ascii="GillSans" w:hAnsi="GillSans" w:cs="GillSans"/>
          <w:b/>
          <w:bCs/>
          <w:sz w:val="16"/>
          <w:szCs w:val="16"/>
          <w:lang w:val="en-GB"/>
        </w:rPr>
        <w:t xml:space="preserve">Develop useful Data-flow workflows </w:t>
      </w:r>
    </w:p>
    <w:p w:rsidR="008F60CC" w:rsidRDefault="008F60CC" w:rsidP="00F47620">
      <w:pPr>
        <w:spacing w:before="120"/>
        <w:rPr>
          <w:rFonts w:ascii="GillSans" w:hAnsi="GillSans" w:cs="GillSans"/>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C751BC" w:rsidRPr="00C751BC"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p>
    <w:p w:rsidR="00C751BC" w:rsidRPr="00C751BC" w:rsidRDefault="00C751BC" w:rsidP="00C751BC">
      <w:pPr>
        <w:spacing w:before="120"/>
        <w:rPr>
          <w:rFonts w:ascii="Georgia" w:hAnsi="Georgia"/>
          <w:sz w:val="24"/>
          <w:szCs w:val="24"/>
        </w:rPr>
      </w:pPr>
      <w:r w:rsidRPr="00C751BC">
        <w:rPr>
          <w:rFonts w:ascii="Georgia" w:hAnsi="Georgia"/>
          <w:sz w:val="24"/>
          <w:szCs w:val="24"/>
        </w:rPr>
        <w:t>This process takes significant manual effort ...</w:t>
      </w:r>
    </w:p>
    <w:p w:rsidR="00297A8A" w:rsidRDefault="00C751BC" w:rsidP="00C751BC">
      <w:pPr>
        <w:spacing w:before="120"/>
        <w:rPr>
          <w:rFonts w:ascii="Georgia" w:hAnsi="Georgia"/>
          <w:sz w:val="24"/>
          <w:szCs w:val="24"/>
        </w:rPr>
      </w:pPr>
      <w:r w:rsidRPr="00C751BC">
        <w:rPr>
          <w:rFonts w:ascii="Georgia" w:hAnsi="Georgia"/>
          <w:sz w:val="24"/>
          <w:szCs w:val="24"/>
        </w:rPr>
        <w:t>... and is a constant barrier to progress</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C751BC" w:rsidRDefault="00A51A00" w:rsidP="00C751BC">
      <w:pPr>
        <w:spacing w:before="120"/>
        <w:rPr>
          <w:rFonts w:ascii="Georgia" w:hAnsi="Georgia"/>
          <w:sz w:val="24"/>
          <w:szCs w:val="24"/>
        </w:rPr>
      </w:pPr>
      <w:r w:rsidRPr="00226230">
        <w:rPr>
          <w:rFonts w:ascii="Georgia" w:hAnsi="Georgia"/>
          <w:sz w:val="24"/>
          <w:szCs w:val="24"/>
        </w:rPr>
        <w:lastRenderedPageBreak/>
        <w:pict>
          <v:shape id="Object 1" o:spid="_x0000_i1027" type="#_x0000_t75" style="width:366pt;height:312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">
            <v:imagedata r:id="rId17" o:title="" croptop="-4059f" cropbottom="-1761f" cropleft="-4573f" cropright="-9210f"/>
            <o:lock v:ext="edit" aspectratio="f"/>
          </v:shape>
        </w:pict>
      </w:r>
    </w:p>
    <w:p w:rsidR="00C751BC" w:rsidRDefault="00C751BC" w:rsidP="00C751BC">
      <w:pPr>
        <w:spacing w:before="120"/>
        <w:rPr>
          <w:rFonts w:ascii="Georgia" w:hAnsi="Georgia"/>
          <w:sz w:val="24"/>
          <w:szCs w:val="24"/>
        </w:rPr>
      </w:pPr>
    </w:p>
    <w:p w:rsidR="00D340A2" w:rsidRDefault="00A51A00" w:rsidP="00C751BC">
      <w:pPr>
        <w:spacing w:before="120"/>
        <w:rPr>
          <w:rFonts w:ascii="Georgia" w:hAnsi="Georgia"/>
          <w:sz w:val="24"/>
          <w:szCs w:val="24"/>
        </w:rPr>
      </w:pPr>
      <w:r w:rsidRPr="00226230">
        <w:rPr>
          <w:rFonts w:ascii="Georgia" w:hAnsi="Georgia"/>
          <w:sz w:val="24"/>
          <w:szCs w:val="24"/>
        </w:rPr>
        <w:pict>
          <v:shape id="Object 3" o:spid="_x0000_i1028" type="#_x0000_t75" style="width:5in;height:264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">
            <v:imagedata r:id="rId18" o:title="" croptop="-4752f" cropbottom="-388f" cropleft="-3918f" cropright="-7836f"/>
            <o:lock v:ext="edit" aspectratio="f"/>
          </v:shape>
        </w:pict>
      </w:r>
    </w:p>
    <w:p w:rsidR="001011DB" w:rsidRDefault="00A51A00" w:rsidP="00C751BC">
      <w:pPr>
        <w:spacing w:before="120"/>
        <w:rPr>
          <w:rFonts w:ascii="Georgia" w:hAnsi="Georgia"/>
          <w:sz w:val="24"/>
          <w:szCs w:val="24"/>
        </w:rPr>
      </w:pPr>
      <w:r w:rsidRPr="00226230">
        <w:rPr>
          <w:rFonts w:ascii="Georgia" w:hAnsi="Georgia"/>
          <w:sz w:val="24"/>
          <w:szCs w:val="24"/>
        </w:rPr>
        <w:lastRenderedPageBreak/>
        <w:pict>
          <v:shape id="Object 2" o:spid="_x0000_i1029" type="#_x0000_t75" style="width:316.5pt;height:318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10;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">
            <v:imagedata r:id="rId19" o:title="" croptop="-3872f" cropbottom="-1824f" cropleft="-5129f" cropright="-4428f"/>
            <o:lock v:ext="edit" aspectratio="f"/>
          </v:shape>
        </w:pict>
      </w:r>
    </w:p>
    <w:p w:rsidR="00671FF7" w:rsidRDefault="00671FF7" w:rsidP="003308E3">
      <w:pPr>
        <w:spacing w:before="120"/>
        <w:rPr>
          <w:rFonts w:ascii="Georgia" w:hAnsi="Georgia"/>
          <w:sz w:val="24"/>
          <w:szCs w:val="24"/>
        </w:rPr>
      </w:pPr>
    </w:p>
    <w:p w:rsidR="0084198D" w:rsidRDefault="0084198D" w:rsidP="003308E3">
      <w:pPr>
        <w:spacing w:before="120"/>
        <w:rPr>
          <w:rFonts w:ascii="Georgia" w:hAnsi="Georgia"/>
          <w:sz w:val="24"/>
          <w:szCs w:val="24"/>
        </w:rPr>
      </w:pPr>
    </w:p>
    <w:p w:rsidR="005711A5" w:rsidRDefault="005711A5" w:rsidP="0084198D">
      <w:pPr>
        <w:pStyle w:val="Heading1"/>
      </w:pPr>
    </w:p>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20" w:history="1">
        <w:r w:rsidR="00A51A00" w:rsidRPr="00226230">
          <w:rPr>
            <w:color w:val="0000FF"/>
          </w:rPr>
          <w:pict>
            <v:shape id="_x0000_i1030" type="#_x0000_t75" alt="email" style="width:10.5pt;height:8.25pt" o:button="t">
              <v:imagedata r:id="rId21" r:href="rId22"/>
            </v:shape>
          </w:pict>
        </w:r>
      </w:hyperlink>
      <w:r>
        <w:t xml:space="preserve">, </w:t>
      </w:r>
      <w:r>
        <w:rPr>
          <w:rStyle w:val="Strong"/>
        </w:rPr>
        <w:t>Samuel Thoraval</w:t>
      </w:r>
      <w:r>
        <w:rPr>
          <w:vertAlign w:val="superscript"/>
        </w:rPr>
        <w:t>2,3</w:t>
      </w:r>
      <w:r>
        <w:t xml:space="preserve"> </w:t>
      </w:r>
      <w:hyperlink r:id="rId23" w:history="1">
        <w:r w:rsidR="00A51A00" w:rsidRPr="00226230">
          <w:rPr>
            <w:color w:val="0000FF"/>
          </w:rPr>
          <w:pict>
            <v:shape id="_x0000_i1031" type="#_x0000_t75" alt="email" style="width:10.5pt;height:8.25pt" o:button="t">
              <v:imagedata r:id="rId21" r:href="rId24"/>
            </v:shape>
          </w:pict>
        </w:r>
      </w:hyperlink>
      <w:r>
        <w:t xml:space="preserve">, </w:t>
      </w:r>
      <w:r>
        <w:rPr>
          <w:rStyle w:val="Strong"/>
        </w:rPr>
        <w:t>Leyla J Garcia</w:t>
      </w:r>
      <w:r>
        <w:rPr>
          <w:vertAlign w:val="superscript"/>
        </w:rPr>
        <w:t>4</w:t>
      </w:r>
      <w:r>
        <w:t xml:space="preserve"> </w:t>
      </w:r>
      <w:hyperlink r:id="rId25" w:history="1">
        <w:r w:rsidR="00A51A00" w:rsidRPr="00226230">
          <w:rPr>
            <w:color w:val="0000FF"/>
          </w:rPr>
          <w:pict>
            <v:shape id="_x0000_i1032" type="#_x0000_t75" alt="email" style="width:10.5pt;height:8.25pt" o:button="t">
              <v:imagedata r:id="rId21" r:href="rId26"/>
            </v:shape>
          </w:pict>
        </w:r>
      </w:hyperlink>
      <w:r>
        <w:t xml:space="preserve">and </w:t>
      </w:r>
      <w:r>
        <w:rPr>
          <w:rStyle w:val="Strong"/>
        </w:rPr>
        <w:t>Mark A Ragan</w:t>
      </w:r>
      <w:r>
        <w:rPr>
          <w:vertAlign w:val="superscript"/>
        </w:rPr>
        <w:t>1,2</w:t>
      </w:r>
      <w:r>
        <w:t xml:space="preserve"> </w:t>
      </w:r>
      <w:hyperlink r:id="rId27" w:history="1">
        <w:r w:rsidR="00A51A00" w:rsidRPr="00226230">
          <w:rPr>
            <w:color w:val="0000FF"/>
          </w:rPr>
          <w:pict>
            <v:shape id="_x0000_i1033" type="#_x0000_t75" alt="email" style="width:10.5pt;height:8.25pt" o:button="t">
              <v:imagedata r:id="rId28" r:href="rId29"/>
            </v:shape>
          </w:pict>
        </w:r>
      </w:hyperlink>
    </w:p>
    <w:p w:rsidR="0084198D" w:rsidRDefault="0084198D" w:rsidP="0084198D">
      <w:pPr>
        <w:pStyle w:val="NormalWeb"/>
      </w:pPr>
      <w:r>
        <w:rPr>
          <w:rStyle w:val="Emphasis"/>
        </w:rPr>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w:t>
      </w:r>
      <w:r>
        <w:lastRenderedPageBreak/>
        <w:t xml:space="preserve">properly defined it is possible to use and parameterize them as generic re-usable components. To illustrate how these operations can be orchestrated, we 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 </w:t>
      </w:r>
      <w:r>
        <w:rPr>
          <w:rStyle w:val="Emphasis"/>
        </w:rPr>
        <w:t xml:space="preserve">Availability: </w:t>
      </w:r>
      <w:hyperlink r:id="rId30" w:history="1">
        <w:r>
          <w:rPr>
            <w:rStyle w:val="Hyperlink"/>
          </w:rPr>
          <w:t>http://if-web1.imb.uq.edu.au/Pise/5.a/gpipe.html</w:t>
        </w:r>
      </w:hyperlink>
      <w:r>
        <w:t xml:space="preserve"> </w:t>
      </w:r>
      <w:hyperlink r:id="rId31" w:tooltip="Archive copy of webpage" w:history="1">
        <w:r>
          <w:rPr>
            <w:rStyle w:val="Hyperlink"/>
          </w:rPr>
          <w:t>webcite</w:t>
        </w:r>
      </w:hyperlink>
      <w:r>
        <w:t xml:space="preserve"> (interactive), </w:t>
      </w:r>
      <w:hyperlink r:id="rId32" w:history="1">
        <w:r>
          <w:rPr>
            <w:rStyle w:val="Hyperlink"/>
          </w:rPr>
          <w:t>ftp://ftp.pasteur.fr/pub/GenSoft/unix/misc/Pise/</w:t>
        </w:r>
      </w:hyperlink>
      <w:r>
        <w:t xml:space="preserve"> </w:t>
      </w:r>
      <w:hyperlink r:id="rId33"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46365" w:rsidP="00746365">
      <w:pPr>
        <w:rPr>
          <w:rFonts w:ascii="Arial" w:eastAsia="Times New Roman" w:hAnsi="Arial" w:cs="Arial"/>
          <w:b/>
          <w:bCs/>
          <w:color w:val="000000"/>
          <w:sz w:val="35"/>
          <w:szCs w:val="35"/>
        </w:rPr>
      </w:pPr>
    </w:p>
    <w:p w:rsidR="00746365" w:rsidRDefault="00746365" w:rsidP="00746365">
      <w:pPr>
        <w:rPr>
          <w:rFonts w:ascii="Arial" w:eastAsia="Times New Roman" w:hAnsi="Arial" w:cs="Arial"/>
          <w:b/>
          <w:bCs/>
          <w:color w:val="000000"/>
          <w:sz w:val="35"/>
          <w:szCs w:val="35"/>
        </w:rPr>
      </w:pP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An ontology-based framework for bioinformatics</w:t>
      </w: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workflows</w:t>
      </w:r>
    </w:p>
    <w:p w:rsidR="00746365" w:rsidRPr="00746365" w:rsidRDefault="00746365" w:rsidP="00746365">
      <w:pPr>
        <w:rPr>
          <w:rFonts w:eastAsia="Times New Roman"/>
          <w:sz w:val="24"/>
          <w:szCs w:val="24"/>
        </w:rPr>
      </w:pPr>
      <w:r w:rsidRPr="00746365">
        <w:rPr>
          <w:rFonts w:ascii="Arial" w:eastAsia="Times New Roman" w:hAnsi="Arial" w:cs="Arial"/>
          <w:color w:val="000000"/>
          <w:sz w:val="35"/>
          <w:szCs w:val="35"/>
        </w:rPr>
        <w:t>Luciano A. Digiampietri</w:t>
      </w:r>
    </w:p>
    <w:p w:rsidR="00746365" w:rsidRPr="00746365" w:rsidRDefault="00746365" w:rsidP="00746365">
      <w:pPr>
        <w:rPr>
          <w:rFonts w:eastAsia="Times New Roman"/>
          <w:sz w:val="24"/>
          <w:szCs w:val="24"/>
        </w:rPr>
      </w:pPr>
      <w:r w:rsidRPr="00746365">
        <w:rPr>
          <w:rFonts w:eastAsia="Times New Roman"/>
          <w:b/>
          <w:bCs/>
          <w:color w:val="000000"/>
          <w:sz w:val="21"/>
          <w:szCs w:val="21"/>
        </w:rPr>
        <w:t>Abstract:</w:t>
      </w:r>
    </w:p>
    <w:p w:rsidR="00746365" w:rsidRPr="00746365" w:rsidRDefault="00746365" w:rsidP="00746365">
      <w:pPr>
        <w:rPr>
          <w:rFonts w:eastAsia="Times New Roman"/>
          <w:sz w:val="24"/>
          <w:szCs w:val="24"/>
        </w:rPr>
      </w:pPr>
      <w:r w:rsidRPr="00746365">
        <w:rPr>
          <w:rFonts w:eastAsia="Times New Roman"/>
          <w:color w:val="000000"/>
          <w:sz w:val="21"/>
          <w:szCs w:val="21"/>
        </w:rPr>
        <w:t>The proliferation of bioinformatics activities brings new challenges</w:t>
      </w:r>
    </w:p>
    <w:p w:rsidR="00746365" w:rsidRPr="00746365" w:rsidRDefault="00746365" w:rsidP="00746365">
      <w:pPr>
        <w:rPr>
          <w:rFonts w:eastAsia="Times New Roman"/>
          <w:sz w:val="24"/>
          <w:szCs w:val="24"/>
        </w:rPr>
      </w:pPr>
      <w:r w:rsidRPr="00746365">
        <w:rPr>
          <w:rFonts w:eastAsia="Times New Roman"/>
          <w:color w:val="000000"/>
          <w:sz w:val="21"/>
          <w:szCs w:val="21"/>
        </w:rPr>
        <w:t>– how to understand and organise these resources, how to exchange and</w:t>
      </w:r>
    </w:p>
    <w:p w:rsidR="00746365" w:rsidRPr="00746365" w:rsidRDefault="00746365" w:rsidP="00746365">
      <w:pPr>
        <w:rPr>
          <w:rFonts w:eastAsia="Times New Roman"/>
          <w:sz w:val="24"/>
          <w:szCs w:val="24"/>
        </w:rPr>
      </w:pPr>
      <w:r w:rsidRPr="00746365">
        <w:rPr>
          <w:rFonts w:eastAsia="Times New Roman"/>
          <w:color w:val="000000"/>
          <w:sz w:val="21"/>
          <w:szCs w:val="21"/>
        </w:rPr>
        <w:t>reuse successful experimental procedures, and to provide interoperability</w:t>
      </w:r>
    </w:p>
    <w:p w:rsidR="00746365" w:rsidRPr="00746365" w:rsidRDefault="00746365" w:rsidP="00746365">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746365" w:rsidRPr="00746365" w:rsidRDefault="00746365" w:rsidP="00746365">
      <w:pPr>
        <w:rPr>
          <w:rFonts w:eastAsia="Times New Roman"/>
          <w:sz w:val="24"/>
          <w:szCs w:val="24"/>
        </w:rPr>
      </w:pPr>
      <w:r w:rsidRPr="00746365">
        <w:rPr>
          <w:rFonts w:eastAsia="Times New Roman"/>
          <w:color w:val="000000"/>
          <w:sz w:val="21"/>
          <w:szCs w:val="21"/>
        </w:rPr>
        <w:t>It is based on combining research on ontology management, AI and</w:t>
      </w:r>
    </w:p>
    <w:p w:rsidR="00746365" w:rsidRPr="00746365" w:rsidRDefault="00746365" w:rsidP="00746365">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746365" w:rsidRPr="00746365" w:rsidRDefault="00746365" w:rsidP="00746365">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746365" w:rsidRPr="00746365" w:rsidRDefault="00746365" w:rsidP="00746365">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746365" w:rsidRPr="00746365" w:rsidRDefault="00746365" w:rsidP="00746365">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746365" w:rsidRPr="00746365" w:rsidRDefault="00746365" w:rsidP="00746365">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746365" w:rsidRDefault="00746365" w:rsidP="003308E3">
      <w:pPr>
        <w:spacing w:before="120"/>
        <w:rPr>
          <w:rFonts w:ascii="Georgia" w:hAnsi="Georgia"/>
          <w:sz w:val="24"/>
          <w:szCs w:val="24"/>
        </w:rPr>
      </w:pPr>
      <w:r>
        <w:rPr>
          <w:rFonts w:ascii="Georgia" w:hAnsi="Georgia"/>
          <w:sz w:val="24"/>
          <w:szCs w:val="24"/>
        </w:rPr>
        <w:t>…</w:t>
      </w:r>
    </w:p>
    <w:p w:rsidR="00746365" w:rsidRPr="00746365" w:rsidRDefault="00746365" w:rsidP="00746365">
      <w:pPr>
        <w:rPr>
          <w:rFonts w:eastAsia="Times New Roman"/>
          <w:sz w:val="24"/>
          <w:szCs w:val="24"/>
        </w:rPr>
      </w:pPr>
      <w:r w:rsidRPr="00746365">
        <w:rPr>
          <w:rFonts w:eastAsia="Times New Roman"/>
          <w:color w:val="000000"/>
          <w:sz w:val="24"/>
          <w:szCs w:val="24"/>
        </w:rPr>
        <w:t>We use domain ontologies as the basis for attacking these problems. The first</w:t>
      </w:r>
    </w:p>
    <w:p w:rsidR="00746365" w:rsidRPr="00746365" w:rsidRDefault="00746365" w:rsidP="00746365">
      <w:pPr>
        <w:rPr>
          <w:rFonts w:eastAsia="Times New Roman"/>
          <w:sz w:val="24"/>
          <w:szCs w:val="24"/>
        </w:rPr>
      </w:pPr>
      <w:r w:rsidRPr="00746365">
        <w:rPr>
          <w:rFonts w:eastAsia="Times New Roman"/>
          <w:color w:val="000000"/>
          <w:sz w:val="24"/>
          <w:szCs w:val="24"/>
        </w:rPr>
        <w:t>question – provenance of data and software tools – directly affects the acceptance of the</w:t>
      </w:r>
    </w:p>
    <w:p w:rsidR="00746365" w:rsidRPr="00746365" w:rsidRDefault="00746365" w:rsidP="00746365">
      <w:pPr>
        <w:rPr>
          <w:rFonts w:eastAsia="Times New Roman"/>
          <w:sz w:val="24"/>
          <w:szCs w:val="24"/>
        </w:rPr>
      </w:pPr>
      <w:r w:rsidRPr="00746365">
        <w:rPr>
          <w:rFonts w:eastAsia="Times New Roman"/>
          <w:color w:val="000000"/>
          <w:sz w:val="24"/>
          <w:szCs w:val="24"/>
        </w:rPr>
        <w:t>results of experiments. The quality of bioinformatics experiments depends on properly</w:t>
      </w:r>
    </w:p>
    <w:p w:rsidR="00746365" w:rsidRPr="00746365" w:rsidRDefault="00746365" w:rsidP="00746365">
      <w:pPr>
        <w:rPr>
          <w:rFonts w:eastAsia="Times New Roman"/>
          <w:sz w:val="24"/>
          <w:szCs w:val="24"/>
        </w:rPr>
      </w:pPr>
      <w:r w:rsidRPr="00746365">
        <w:rPr>
          <w:rFonts w:eastAsia="Times New Roman"/>
          <w:color w:val="000000"/>
          <w:sz w:val="24"/>
          <w:szCs w:val="24"/>
        </w:rPr>
        <w:t>identifying data origins and the processes that produced these data (Buttler et al., 2002).</w:t>
      </w:r>
    </w:p>
    <w:p w:rsidR="00746365" w:rsidRPr="00746365" w:rsidRDefault="00746365" w:rsidP="00746365">
      <w:pPr>
        <w:rPr>
          <w:rFonts w:eastAsia="Times New Roman"/>
          <w:sz w:val="24"/>
          <w:szCs w:val="24"/>
        </w:rPr>
      </w:pPr>
      <w:r w:rsidRPr="00746365">
        <w:rPr>
          <w:rFonts w:eastAsia="Times New Roman"/>
          <w:color w:val="000000"/>
          <w:sz w:val="24"/>
          <w:szCs w:val="24"/>
        </w:rPr>
        <w:t>At most times, provenance is indicated by laborious manual annotations, which often</w:t>
      </w:r>
    </w:p>
    <w:p w:rsidR="00746365" w:rsidRPr="00746365" w:rsidRDefault="00746365" w:rsidP="00746365">
      <w:pPr>
        <w:rPr>
          <w:rFonts w:eastAsia="Times New Roman"/>
          <w:sz w:val="24"/>
          <w:szCs w:val="24"/>
        </w:rPr>
      </w:pPr>
      <w:r w:rsidRPr="00746365">
        <w:rPr>
          <w:rFonts w:eastAsia="Times New Roman"/>
          <w:color w:val="000000"/>
          <w:sz w:val="24"/>
          <w:szCs w:val="24"/>
        </w:rPr>
        <w:t>vary across laboratories.</w:t>
      </w:r>
    </w:p>
    <w:p w:rsidR="00746365" w:rsidRPr="00746365" w:rsidRDefault="00746365" w:rsidP="00746365">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746365" w:rsidRPr="00746365" w:rsidRDefault="00746365" w:rsidP="00746365">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746365" w:rsidRPr="00746365" w:rsidRDefault="00746365" w:rsidP="00746365">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746365" w:rsidRPr="00746365" w:rsidRDefault="00746365" w:rsidP="00746365">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746365" w:rsidRPr="00746365" w:rsidRDefault="00746365" w:rsidP="00746365">
      <w:pPr>
        <w:rPr>
          <w:rFonts w:eastAsia="Times New Roman"/>
          <w:sz w:val="24"/>
          <w:szCs w:val="24"/>
        </w:rPr>
      </w:pPr>
      <w:r w:rsidRPr="00746365">
        <w:rPr>
          <w:rFonts w:eastAsia="Times New Roman"/>
          <w:color w:val="000000"/>
          <w:sz w:val="24"/>
          <w:szCs w:val="24"/>
        </w:rPr>
        <w:t>web, the composition problem has become more important. To help this issue, many tools</w:t>
      </w:r>
    </w:p>
    <w:p w:rsidR="00746365" w:rsidRPr="00746365" w:rsidRDefault="00746365" w:rsidP="00746365">
      <w:pPr>
        <w:rPr>
          <w:rFonts w:eastAsia="Times New Roman"/>
          <w:sz w:val="24"/>
          <w:szCs w:val="24"/>
        </w:rPr>
      </w:pPr>
      <w:r w:rsidRPr="00746365">
        <w:rPr>
          <w:rFonts w:eastAsia="Times New Roman"/>
          <w:color w:val="000000"/>
          <w:sz w:val="24"/>
          <w:szCs w:val="24"/>
        </w:rPr>
        <w:t>invoked by such workflows are now encapsulated into web services</w:t>
      </w:r>
    </w:p>
    <w:p w:rsidR="00746365" w:rsidRDefault="00746365"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104A8C" w:rsidRDefault="00104A8C" w:rsidP="003308E3">
      <w:pPr>
        <w:spacing w:before="120"/>
        <w:rPr>
          <w:rFonts w:ascii="Georgia" w:hAnsi="Georgia"/>
          <w:sz w:val="24"/>
          <w:szCs w:val="24"/>
        </w:rPr>
      </w:pPr>
      <w:r>
        <w:rPr>
          <w:rFonts w:ascii="Georgia" w:hAnsi="Georgia"/>
          <w:sz w:val="24"/>
          <w:szCs w:val="24"/>
        </w:rPr>
        <w:t xml:space="preserve">Aqwa </w:t>
      </w:r>
      <w:r w:rsidR="00333C76">
        <w:rPr>
          <w:rFonts w:ascii="Georgia" w:hAnsi="Georgia"/>
          <w:sz w:val="24"/>
          <w:szCs w:val="24"/>
        </w:rPr>
        <w:t xml:space="preserve">gamma </w:t>
      </w:r>
      <w:r>
        <w:rPr>
          <w:rFonts w:ascii="Georgia" w:hAnsi="Georgia"/>
          <w:sz w:val="24"/>
          <w:szCs w:val="24"/>
        </w:rPr>
        <w:t xml:space="preserve">may make use of existing syntactic structures and algebraic operators common to bioinformatics workflows (Garcia et al., 2005) </w:t>
      </w:r>
      <w:r w:rsidR="003F6C4C">
        <w:rPr>
          <w:rFonts w:ascii="Georgia" w:hAnsi="Georgia"/>
          <w:sz w:val="24"/>
          <w:szCs w:val="24"/>
        </w:rPr>
        <w:t>to achieve fully customizable workf</w:t>
      </w:r>
      <w:r w:rsidR="00E44E57">
        <w:rPr>
          <w:rFonts w:ascii="Georgia" w:hAnsi="Georgia"/>
          <w:sz w:val="24"/>
          <w:szCs w:val="24"/>
        </w:rPr>
        <w:t>lows with forks,</w:t>
      </w:r>
      <w:r w:rsidR="003F6C4C">
        <w:rPr>
          <w:rFonts w:ascii="Georgia" w:hAnsi="Georgia"/>
          <w:sz w:val="24"/>
          <w:szCs w:val="24"/>
        </w:rPr>
        <w:t xml:space="preserve"> </w:t>
      </w:r>
      <w:r w:rsidR="003F6C4C">
        <w:rPr>
          <w:rFonts w:ascii="Georgia" w:hAnsi="Georgia"/>
          <w:sz w:val="24"/>
          <w:szCs w:val="24"/>
        </w:rPr>
        <w:lastRenderedPageBreak/>
        <w:t>conditional statements</w:t>
      </w:r>
      <w:r w:rsidR="00E44E57">
        <w:rPr>
          <w:rFonts w:ascii="Georgia" w:hAnsi="Georgia"/>
          <w:sz w:val="24"/>
          <w:szCs w:val="24"/>
        </w:rPr>
        <w:t>, loops</w:t>
      </w:r>
      <w:r w:rsidR="003F6C4C">
        <w:rPr>
          <w:rFonts w:ascii="Georgia" w:hAnsi="Georgia"/>
          <w:sz w:val="24"/>
          <w:szCs w:val="24"/>
        </w:rPr>
        <w:t xml:space="preserve"> and treelike workflows composed of multiple workflows linked together with logical commands.</w:t>
      </w:r>
      <w:r w:rsidR="0056091E">
        <w:rPr>
          <w:rFonts w:ascii="Georgia" w:hAnsi="Georgia"/>
          <w:sz w:val="24"/>
          <w:szCs w:val="24"/>
        </w:rPr>
        <w:t xml:space="preserve"> </w:t>
      </w:r>
      <w:r w:rsidR="00E213F8">
        <w:rPr>
          <w:rFonts w:ascii="Georgia" w:hAnsi="Georgia"/>
          <w:sz w:val="24"/>
          <w:szCs w:val="24"/>
        </w:rPr>
        <w:t>Since JSON workflow descriptors are actual data objects which need no further parsing to define them at the object level (unlike XML), this greatly facilitates chaining together objects in complex interdependencies</w:t>
      </w:r>
      <w:r w:rsidR="0056091E">
        <w:rPr>
          <w:rFonts w:ascii="Georgia" w:hAnsi="Georgia"/>
          <w:sz w:val="24"/>
          <w:szCs w:val="24"/>
        </w:rPr>
        <w:t xml:space="preserve">. </w:t>
      </w:r>
      <w:r w:rsidR="00F71D3C">
        <w:rPr>
          <w:rFonts w:ascii="Georgia" w:hAnsi="Georgia"/>
          <w:sz w:val="24"/>
          <w:szCs w:val="24"/>
        </w:rPr>
        <w:t xml:space="preserve">Following further </w:t>
      </w:r>
      <w:r w:rsidR="0056091E">
        <w:rPr>
          <w:rFonts w:ascii="Georgia" w:hAnsi="Georgia"/>
          <w:sz w:val="24"/>
          <w:szCs w:val="24"/>
        </w:rPr>
        <w:t xml:space="preserve">evaluation of the </w:t>
      </w:r>
      <w:r w:rsidR="00F71D3C">
        <w:rPr>
          <w:rFonts w:ascii="Georgia" w:hAnsi="Georgia"/>
          <w:sz w:val="24"/>
          <w:szCs w:val="24"/>
        </w:rPr>
        <w:t xml:space="preserve">relative merits of </w:t>
      </w:r>
      <w:r w:rsidR="0056091E">
        <w:rPr>
          <w:rFonts w:ascii="Georgia" w:hAnsi="Georgia"/>
          <w:sz w:val="24"/>
          <w:szCs w:val="24"/>
        </w:rPr>
        <w:t xml:space="preserve">existing </w:t>
      </w:r>
      <w:r w:rsidR="00E213F8">
        <w:rPr>
          <w:rFonts w:ascii="Georgia" w:hAnsi="Georgia"/>
          <w:sz w:val="24"/>
          <w:szCs w:val="24"/>
        </w:rPr>
        <w:t xml:space="preserve">workflow control </w:t>
      </w:r>
      <w:r w:rsidR="0056091E">
        <w:rPr>
          <w:rFonts w:ascii="Georgia" w:hAnsi="Georgia"/>
          <w:sz w:val="24"/>
          <w:szCs w:val="24"/>
        </w:rPr>
        <w:t xml:space="preserve">methods and </w:t>
      </w:r>
      <w:r w:rsidR="00E213F8">
        <w:rPr>
          <w:rFonts w:ascii="Georgia" w:hAnsi="Georgia"/>
          <w:sz w:val="24"/>
          <w:szCs w:val="24"/>
        </w:rPr>
        <w:t xml:space="preserve">their </w:t>
      </w:r>
      <w:r w:rsidR="0056091E">
        <w:rPr>
          <w:rFonts w:ascii="Georgia" w:hAnsi="Georgia"/>
          <w:sz w:val="24"/>
          <w:szCs w:val="24"/>
        </w:rPr>
        <w:t xml:space="preserve">applicability to the Aqwa </w:t>
      </w:r>
      <w:r w:rsidR="00E213F8">
        <w:rPr>
          <w:rFonts w:ascii="Georgia" w:hAnsi="Georgia"/>
          <w:sz w:val="24"/>
          <w:szCs w:val="24"/>
        </w:rPr>
        <w:t>system</w:t>
      </w:r>
      <w:r w:rsidR="00F71D3C">
        <w:rPr>
          <w:rFonts w:ascii="Georgia" w:hAnsi="Georgia"/>
          <w:sz w:val="24"/>
          <w:szCs w:val="24"/>
        </w:rPr>
        <w:t>, a core set of operators will be implemented</w:t>
      </w:r>
      <w:r w:rsidR="00E213F8">
        <w:rPr>
          <w:rFonts w:ascii="Georgia" w:hAnsi="Georgia"/>
          <w:sz w:val="24"/>
          <w:szCs w:val="24"/>
        </w:rPr>
        <w:t xml:space="preserve"> </w:t>
      </w:r>
      <w:r w:rsidR="00F71D3C">
        <w:rPr>
          <w:rFonts w:ascii="Georgia" w:hAnsi="Georgia"/>
          <w:sz w:val="24"/>
          <w:szCs w:val="24"/>
        </w:rPr>
        <w:t xml:space="preserve">in </w:t>
      </w:r>
      <w:r w:rsidR="0056091E">
        <w:rPr>
          <w:rFonts w:ascii="Georgia" w:hAnsi="Georgia"/>
          <w:sz w:val="24"/>
          <w:szCs w:val="24"/>
        </w:rPr>
        <w:t>Phase 3 (Aqwa gamma).</w:t>
      </w:r>
    </w:p>
    <w:p w:rsidR="00104A8C" w:rsidRDefault="00104A8C" w:rsidP="003308E3">
      <w:pPr>
        <w:spacing w:before="120"/>
        <w:rPr>
          <w:rFonts w:ascii="Georgia" w:hAnsi="Georgia"/>
          <w:sz w:val="24"/>
          <w:szCs w:val="24"/>
        </w:rPr>
      </w:pPr>
    </w:p>
    <w:p w:rsidR="0084198D" w:rsidRPr="009C6530" w:rsidRDefault="0084198D" w:rsidP="003308E3">
      <w:pPr>
        <w:spacing w:before="120"/>
        <w:rPr>
          <w:rFonts w:ascii="Georgia" w:hAnsi="Georgia"/>
          <w:sz w:val="24"/>
          <w:szCs w:val="24"/>
        </w:rPr>
      </w:pPr>
    </w:p>
    <w:p w:rsidR="00AB3FE5" w:rsidRPr="009C6530" w:rsidRDefault="00CA6CE3" w:rsidP="003308E3">
      <w:pPr>
        <w:spacing w:before="120"/>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900BDF">
      <w:pPr>
        <w:spacing w:before="120"/>
        <w:ind w:left="360"/>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rsidP="003308E3">
      <w:pPr>
        <w:spacing w:before="120"/>
        <w:rPr>
          <w:rFonts w:ascii="Georgia" w:hAnsi="Georgia"/>
        </w:rPr>
      </w:pPr>
    </w:p>
    <w:p w:rsidR="00A73062" w:rsidRPr="009C6530" w:rsidRDefault="00A73062" w:rsidP="003308E3">
      <w:pPr>
        <w:spacing w:before="120"/>
        <w:rPr>
          <w:rFonts w:ascii="Georgia" w:hAnsi="Georgia"/>
        </w:rPr>
      </w:pPr>
    </w:p>
    <w:p w:rsidR="00A21AFD" w:rsidRPr="003308E3" w:rsidRDefault="00D11009" w:rsidP="003308E3">
      <w:pPr>
        <w:spacing w:before="120"/>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6F25D8" w:rsidRPr="009C6530" w:rsidRDefault="00BC17A8" w:rsidP="003308E3">
      <w:pPr>
        <w:spacing w:before="120"/>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3308E3">
      <w:pPr>
        <w:keepNext/>
        <w:widowControl w:val="0"/>
        <w:spacing w:before="120"/>
        <w:rPr>
          <w:rFonts w:ascii="Georgia" w:hAnsi="Georgia"/>
          <w:b/>
          <w:sz w:val="24"/>
          <w:szCs w:val="24"/>
        </w:rPr>
      </w:pPr>
      <w:r w:rsidRPr="009C6530">
        <w:rPr>
          <w:rFonts w:ascii="Georgia" w:hAnsi="Georgia"/>
          <w:b/>
          <w:sz w:val="24"/>
          <w:szCs w:val="24"/>
        </w:rPr>
        <w:t>METHOD</w:t>
      </w:r>
    </w:p>
    <w:p w:rsidR="00BC17A8" w:rsidRPr="003308E3" w:rsidRDefault="00BC17A8" w:rsidP="003308E3">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(28)</w:t>
      </w:r>
      <w:r w:rsidR="00226230">
        <w:rPr>
          <w:rFonts w:ascii="Georgia" w:hAnsi="Georgia"/>
          <w:sz w:val="24"/>
          <w:szCs w:val="24"/>
        </w:rPr>
        <w:fldChar w:fldCharType="end"/>
      </w:r>
      <w:r w:rsidRPr="009C6530">
        <w:rPr>
          <w:rFonts w:ascii="Georgia" w:hAnsi="Georgia"/>
          <w:sz w:val="24"/>
          <w:szCs w:val="24"/>
        </w:rPr>
        <w:t xml:space="preserve">, Mira v2.9.25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26230">
        <w:rPr>
          <w:rFonts w:ascii="Georgia" w:hAnsi="Georgia"/>
          <w:sz w:val="24"/>
          <w:szCs w:val="24"/>
        </w:rPr>
        <w:fldChar w:fldCharType="separate"/>
      </w:r>
      <w:r w:rsidR="001B4144">
        <w:rPr>
          <w:rFonts w:ascii="Georgia" w:hAnsi="Georgia"/>
          <w:sz w:val="24"/>
          <w:szCs w:val="24"/>
        </w:rPr>
        <w:t>(21)</w:t>
      </w:r>
      <w:r w:rsidR="00226230">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26230">
        <w:rPr>
          <w:rFonts w:ascii="Georgia" w:hAnsi="Georgia"/>
          <w:sz w:val="24"/>
          <w:szCs w:val="24"/>
        </w:rPr>
        <w:fldChar w:fldCharType="separate"/>
      </w:r>
      <w:r w:rsidR="001B4144">
        <w:rPr>
          <w:rFonts w:ascii="Georgia" w:hAnsi="Georgia"/>
          <w:sz w:val="24"/>
          <w:szCs w:val="24"/>
        </w:rPr>
        <w:t>(22)</w:t>
      </w:r>
      <w:r w:rsidR="00226230">
        <w:rPr>
          <w:rFonts w:ascii="Georgia" w:hAnsi="Georgia"/>
          <w:sz w:val="24"/>
          <w:szCs w:val="24"/>
        </w:rPr>
        <w:fldChar w:fldCharType="end"/>
      </w:r>
      <w:r w:rsidRPr="009C6530">
        <w:rPr>
          <w:rFonts w:ascii="Georgia" w:hAnsi="Georgia"/>
          <w:sz w:val="24"/>
          <w:szCs w:val="24"/>
        </w:rPr>
        <w:t xml:space="preserve">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(23)</w:t>
      </w:r>
      <w:r w:rsidR="00226230">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3308E3" w:rsidRDefault="00BC17A8" w:rsidP="003308E3">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3308E3">
      <w:pPr>
        <w:spacing w:before="120"/>
        <w:rPr>
          <w:rFonts w:ascii="Georgia" w:hAnsi="Georgia"/>
          <w:b/>
          <w:sz w:val="24"/>
          <w:szCs w:val="24"/>
        </w:rPr>
      </w:pPr>
      <w:r w:rsidRPr="009C6530">
        <w:rPr>
          <w:rFonts w:ascii="Georgia" w:hAnsi="Georgia"/>
          <w:b/>
          <w:sz w:val="24"/>
          <w:szCs w:val="24"/>
        </w:rPr>
        <w:t>CONCLUSION</w:t>
      </w:r>
    </w:p>
    <w:p w:rsidR="00BC17A8" w:rsidRPr="003308E3" w:rsidRDefault="00BC17A8" w:rsidP="003308E3">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3308E3" w:rsidRDefault="006F25D8" w:rsidP="003308E3">
      <w:pPr>
        <w:spacing w:before="120"/>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F417F1" w:rsidRPr="003308E3" w:rsidRDefault="00F417F1" w:rsidP="003308E3">
      <w:pPr>
        <w:spacing w:before="120"/>
        <w:rPr>
          <w:rFonts w:ascii="Georgia" w:hAnsi="Georgia"/>
          <w:b/>
          <w:sz w:val="24"/>
          <w:szCs w:val="24"/>
        </w:rPr>
      </w:pPr>
      <w:r>
        <w:rPr>
          <w:rFonts w:ascii="Georgia" w:hAnsi="Georgia"/>
          <w:b/>
          <w:sz w:val="24"/>
          <w:szCs w:val="24"/>
        </w:rPr>
        <w:t>Software Design Document</w:t>
      </w:r>
    </w:p>
    <w:p w:rsidR="00285FA3" w:rsidRDefault="00285FA3" w:rsidP="003308E3">
      <w:pPr>
        <w:spacing w:before="120"/>
        <w:rPr>
          <w:rFonts w:ascii="Georgia" w:hAnsi="Georgia"/>
          <w:b/>
          <w:sz w:val="24"/>
          <w:szCs w:val="24"/>
        </w:rPr>
      </w:pPr>
    </w:p>
    <w:p w:rsidR="00285FA3" w:rsidRDefault="00285FA3" w:rsidP="003308E3">
      <w:pPr>
        <w:spacing w:before="120"/>
        <w:rPr>
          <w:rFonts w:ascii="Georgia" w:hAnsi="Georgia"/>
          <w:b/>
          <w:sz w:val="24"/>
          <w:szCs w:val="24"/>
        </w:rPr>
      </w:pPr>
    </w:p>
    <w:p w:rsidR="002F7137" w:rsidRDefault="00EB2CE5" w:rsidP="003308E3">
      <w:pPr>
        <w:spacing w:before="120"/>
        <w:rPr>
          <w:rFonts w:ascii="Georgia" w:hAnsi="Georgia"/>
          <w:b/>
          <w:sz w:val="24"/>
          <w:szCs w:val="24"/>
        </w:rPr>
      </w:pPr>
      <w:r>
        <w:rPr>
          <w:rFonts w:ascii="Georgia" w:hAnsi="Georgia"/>
          <w:b/>
          <w:sz w:val="24"/>
          <w:szCs w:val="24"/>
        </w:rPr>
        <w:t>Introduction</w:t>
      </w:r>
    </w:p>
    <w:p w:rsidR="00285FA3" w:rsidRDefault="00285FA3" w:rsidP="003308E3">
      <w:pPr>
        <w:spacing w:before="120"/>
        <w:rPr>
          <w:rFonts w:ascii="Georgia" w:hAnsi="Georgia"/>
          <w:b/>
          <w:sz w:val="24"/>
          <w:szCs w:val="24"/>
        </w:rPr>
      </w:pPr>
    </w:p>
    <w:p w:rsidR="00285FA3" w:rsidRDefault="00285FA3" w:rsidP="003308E3">
      <w:pPr>
        <w:spacing w:before="120"/>
        <w:rPr>
          <w:rFonts w:ascii="Georgia" w:hAnsi="Georgia"/>
          <w:b/>
          <w:sz w:val="24"/>
          <w:szCs w:val="24"/>
        </w:rPr>
      </w:pPr>
      <w:r>
        <w:rPr>
          <w:rFonts w:ascii="Georgia" w:hAnsi="Georgia"/>
          <w:b/>
          <w:sz w:val="24"/>
          <w:szCs w:val="24"/>
        </w:rPr>
        <w:t>Web-based</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Ubiquitous</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Easy-access</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lastRenderedPageBreak/>
        <w:t>Flexible, mature technology (multi-media)</w:t>
      </w:r>
    </w:p>
    <w:p w:rsidR="00285FA3" w:rsidRDefault="00285FA3" w:rsidP="00285FA3">
      <w:pPr>
        <w:numPr>
          <w:ilvl w:val="0"/>
          <w:numId w:val="23"/>
        </w:numPr>
        <w:spacing w:before="120"/>
        <w:rPr>
          <w:rFonts w:ascii="Georgia" w:hAnsi="Georgia"/>
          <w:b/>
          <w:sz w:val="24"/>
          <w:szCs w:val="24"/>
        </w:rPr>
      </w:pPr>
      <w:r>
        <w:rPr>
          <w:rFonts w:ascii="Georgia" w:hAnsi="Georgia"/>
          <w:b/>
          <w:sz w:val="24"/>
          <w:szCs w:val="24"/>
        </w:rPr>
        <w:t xml:space="preserve">Mature GUI tools (DHTML, AJAX) </w:t>
      </w:r>
    </w:p>
    <w:p w:rsidR="00285FA3" w:rsidRDefault="00285FA3" w:rsidP="00285FA3">
      <w:pPr>
        <w:spacing w:before="120"/>
        <w:rPr>
          <w:rFonts w:ascii="Georgia" w:hAnsi="Georgia"/>
          <w:b/>
          <w:sz w:val="24"/>
          <w:szCs w:val="24"/>
        </w:rPr>
      </w:pPr>
    </w:p>
    <w:p w:rsidR="00285FA3" w:rsidRPr="00A054C8" w:rsidRDefault="00285FA3" w:rsidP="00285FA3">
      <w:pPr>
        <w:spacing w:before="120"/>
        <w:rPr>
          <w:rFonts w:ascii="Georgia" w:hAnsi="Georgia"/>
          <w:b/>
          <w:sz w:val="24"/>
          <w:szCs w:val="24"/>
        </w:rPr>
      </w:pPr>
    </w:p>
    <w:p w:rsidR="002F7137" w:rsidRDefault="002F7137" w:rsidP="003308E3">
      <w:pPr>
        <w:numPr>
          <w:ilvl w:val="0"/>
          <w:numId w:val="10"/>
        </w:numPr>
        <w:spacing w:before="120"/>
        <w:rPr>
          <w:rFonts w:ascii="Georgia" w:hAnsi="Georgia"/>
          <w:sz w:val="24"/>
          <w:szCs w:val="24"/>
        </w:rPr>
      </w:pPr>
      <w:r>
        <w:rPr>
          <w:rFonts w:ascii="Georgia" w:hAnsi="Georgia"/>
          <w:sz w:val="24"/>
          <w:szCs w:val="24"/>
        </w:rPr>
        <w:t>Project-based structure</w:t>
      </w:r>
    </w:p>
    <w:p w:rsidR="002F7137" w:rsidRDefault="002F7137" w:rsidP="003308E3">
      <w:pPr>
        <w:numPr>
          <w:ilvl w:val="0"/>
          <w:numId w:val="10"/>
        </w:numPr>
        <w:spacing w:before="120"/>
        <w:rPr>
          <w:rFonts w:ascii="Georgia" w:hAnsi="Georgia"/>
          <w:sz w:val="24"/>
          <w:szCs w:val="24"/>
        </w:rPr>
      </w:pPr>
      <w:r>
        <w:rPr>
          <w:rFonts w:ascii="Georgia" w:hAnsi="Georgia"/>
          <w:sz w:val="24"/>
          <w:szCs w:val="24"/>
        </w:rPr>
        <w:t>Data sharing among groups</w:t>
      </w:r>
    </w:p>
    <w:p w:rsidR="002F7137" w:rsidRDefault="002F7137" w:rsidP="003308E3">
      <w:pPr>
        <w:numPr>
          <w:ilvl w:val="0"/>
          <w:numId w:val="10"/>
        </w:numPr>
        <w:spacing w:before="120"/>
        <w:rPr>
          <w:rFonts w:ascii="Georgia" w:hAnsi="Georgia"/>
          <w:sz w:val="24"/>
          <w:szCs w:val="24"/>
        </w:rPr>
      </w:pPr>
      <w:r>
        <w:rPr>
          <w:rFonts w:ascii="Georgia" w:hAnsi="Georgia"/>
          <w:sz w:val="24"/>
          <w:szCs w:val="24"/>
        </w:rPr>
        <w:t>Report extraction and sharing</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3308E3">
      <w:pPr>
        <w:numPr>
          <w:ilvl w:val="0"/>
          <w:numId w:val="10"/>
        </w:numPr>
        <w:spacing w:before="120"/>
        <w:rPr>
          <w:rFonts w:ascii="Georgia" w:hAnsi="Georgia"/>
          <w:sz w:val="24"/>
          <w:szCs w:val="24"/>
        </w:rPr>
      </w:pPr>
      <w:r>
        <w:rPr>
          <w:rFonts w:ascii="Georgia" w:hAnsi="Georgia"/>
          <w:sz w:val="24"/>
          <w:szCs w:val="24"/>
        </w:rPr>
        <w:t>File format conversion</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ID conversion - DAVID </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(29)</w:t>
      </w:r>
      <w:r w:rsidR="00226230">
        <w:rPr>
          <w:rFonts w:ascii="Georgia" w:hAnsi="Georgia"/>
          <w:sz w:val="24"/>
          <w:szCs w:val="24"/>
        </w:rPr>
        <w:fldChar w:fldCharType="end"/>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Transcriptome</w:t>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SNP verification</w:t>
      </w:r>
    </w:p>
    <w:p w:rsidR="00C363AF" w:rsidRPr="006154E1" w:rsidRDefault="00386A11" w:rsidP="003308E3">
      <w:pPr>
        <w:numPr>
          <w:ilvl w:val="0"/>
          <w:numId w:val="10"/>
        </w:numPr>
        <w:spacing w:before="120"/>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154E1" w:rsidRPr="002F7137" w:rsidRDefault="006154E1" w:rsidP="003308E3">
      <w:pPr>
        <w:numPr>
          <w:ilvl w:val="0"/>
          <w:numId w:val="10"/>
        </w:numPr>
        <w:spacing w:before="120"/>
        <w:rPr>
          <w:rFonts w:ascii="Georgia" w:hAnsi="Georgia"/>
          <w:sz w:val="24"/>
          <w:szCs w:val="24"/>
        </w:rPr>
      </w:pPr>
      <w:r>
        <w:rPr>
          <w:rFonts w:ascii="Georgia" w:eastAsia="Times New Roman" w:hAnsi="Georgia"/>
          <w:sz w:val="24"/>
          <w:szCs w:val="24"/>
        </w:rPr>
        <w:t>Integration with Pathway Analysis software, e.g., Cytoscape, GeneGo/MetaCore and Systems Biology modeling software</w:t>
      </w:r>
    </w:p>
    <w:p w:rsidR="006F25D8" w:rsidRDefault="00EB2CE5" w:rsidP="003308E3">
      <w:pPr>
        <w:spacing w:before="120"/>
        <w:rPr>
          <w:rFonts w:ascii="Georgia" w:hAnsi="Georgia"/>
          <w:sz w:val="24"/>
          <w:szCs w:val="24"/>
        </w:rPr>
      </w:pPr>
      <w:r>
        <w:rPr>
          <w:rFonts w:ascii="Georgia" w:hAnsi="Georgia"/>
          <w:sz w:val="24"/>
          <w:szCs w:val="24"/>
        </w:rPr>
        <w:t>Data design (API, SQL tables)</w:t>
      </w:r>
    </w:p>
    <w:p w:rsidR="00EB2CE5" w:rsidRDefault="00EB2CE5" w:rsidP="003308E3">
      <w:pPr>
        <w:spacing w:before="120"/>
        <w:rPr>
          <w:rFonts w:ascii="Georgia" w:hAnsi="Georgia"/>
          <w:sz w:val="24"/>
          <w:szCs w:val="24"/>
        </w:rPr>
      </w:pPr>
    </w:p>
    <w:p w:rsidR="00EB2CE5" w:rsidRDefault="00EB2CE5" w:rsidP="003308E3">
      <w:pPr>
        <w:spacing w:before="120"/>
        <w:rPr>
          <w:rFonts w:ascii="Georgia" w:hAnsi="Georgia"/>
          <w:sz w:val="24"/>
          <w:szCs w:val="24"/>
        </w:rPr>
      </w:pPr>
      <w:r>
        <w:rPr>
          <w:rFonts w:ascii="Georgia" w:hAnsi="Georgia"/>
          <w:sz w:val="24"/>
          <w:szCs w:val="24"/>
        </w:rPr>
        <w:t>Interface design</w:t>
      </w:r>
    </w:p>
    <w:p w:rsidR="00F949D7" w:rsidRDefault="00F949D7" w:rsidP="003308E3">
      <w:pPr>
        <w:spacing w:before="120"/>
        <w:rPr>
          <w:rFonts w:ascii="Georgia" w:hAnsi="Georgia"/>
          <w:sz w:val="24"/>
          <w:szCs w:val="24"/>
        </w:rPr>
      </w:pPr>
    </w:p>
    <w:p w:rsidR="00F949D7" w:rsidRDefault="00F949D7" w:rsidP="003308E3">
      <w:pPr>
        <w:spacing w:before="120"/>
        <w:rPr>
          <w:rFonts w:ascii="Georgia" w:hAnsi="Georgia"/>
          <w:sz w:val="24"/>
          <w:szCs w:val="24"/>
        </w:rPr>
      </w:pPr>
      <w:r>
        <w:rPr>
          <w:rFonts w:ascii="Georgia" w:hAnsi="Georgia"/>
          <w:sz w:val="24"/>
          <w:szCs w:val="24"/>
        </w:rPr>
        <w:t>Risks</w:t>
      </w:r>
    </w:p>
    <w:p w:rsidR="00F949D7" w:rsidRDefault="00F949D7" w:rsidP="003308E3">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F949D7" w:rsidRDefault="00F949D7" w:rsidP="003308E3">
      <w:pPr>
        <w:spacing w:before="120"/>
      </w:pPr>
    </w:p>
    <w:p w:rsidR="00F949D7" w:rsidRDefault="00F949D7" w:rsidP="003308E3">
      <w:pPr>
        <w:spacing w:before="120"/>
        <w:rPr>
          <w:rFonts w:ascii="Georgia" w:hAnsi="Georgia"/>
          <w:sz w:val="24"/>
          <w:szCs w:val="24"/>
        </w:rPr>
      </w:pPr>
    </w:p>
    <w:p w:rsidR="00EB2CE5" w:rsidRPr="009C6530" w:rsidRDefault="00EB2CE5"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115C3F" w:rsidRPr="009C6530" w:rsidRDefault="00115C3F"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B6661C" w:rsidRDefault="006C0670" w:rsidP="00B6661C">
      <w:pPr>
        <w:spacing w:before="120"/>
      </w:pPr>
      <w:r>
        <w:rPr>
          <w:rFonts w:ascii="Georgia" w:hAnsi="Georgia"/>
          <w:b/>
          <w:sz w:val="24"/>
          <w:szCs w:val="24"/>
        </w:rPr>
        <w:br w:type="page"/>
      </w:r>
    </w:p>
    <w:p w:rsidR="008132F5" w:rsidRPr="00A054C8" w:rsidRDefault="00B6661C" w:rsidP="00B6661C">
      <w:pPr>
        <w:spacing w:before="120"/>
        <w:rPr>
          <w:rFonts w:ascii="Georgia" w:hAnsi="Georgia"/>
          <w:b/>
          <w:sz w:val="36"/>
          <w:szCs w:val="36"/>
        </w:rPr>
      </w:pPr>
      <w:r w:rsidRPr="00BE51B5">
        <w:rPr>
          <w:rFonts w:ascii="Georgia" w:hAnsi="Georgia"/>
          <w:sz w:val="44"/>
          <w:szCs w:val="44"/>
        </w:rPr>
        <w:t>The Approach (</w:t>
      </w:r>
      <w:r w:rsidR="00181A69" w:rsidRPr="00A054C8">
        <w:rPr>
          <w:rFonts w:ascii="Georgia" w:hAnsi="Georgia"/>
          <w:b/>
          <w:sz w:val="36"/>
          <w:szCs w:val="36"/>
        </w:rPr>
        <w:t>Research design and methods</w:t>
      </w:r>
      <w:r>
        <w:rPr>
          <w:rFonts w:ascii="Georgia" w:hAnsi="Georgia"/>
          <w:b/>
          <w:sz w:val="36"/>
          <w:szCs w:val="36"/>
        </w:rPr>
        <w:t>)</w:t>
      </w:r>
    </w:p>
    <w:p w:rsidR="00181A69" w:rsidRPr="009C6530" w:rsidRDefault="00181A69" w:rsidP="003308E3">
      <w:pPr>
        <w:spacing w:before="120"/>
        <w:rPr>
          <w:rFonts w:ascii="Georgia" w:hAnsi="Georgia"/>
          <w:sz w:val="24"/>
          <w:szCs w:val="24"/>
        </w:rPr>
      </w:pPr>
    </w:p>
    <w:p w:rsidR="00A054C8" w:rsidRPr="00E03B91" w:rsidRDefault="00A054C8" w:rsidP="00E03B91">
      <w:pPr>
        <w:spacing w:before="120" w:after="100" w:afterAutospacing="1"/>
        <w:rPr>
          <w:rFonts w:ascii="Georgia" w:hAnsi="Georgia"/>
          <w:i/>
          <w:sz w:val="24"/>
          <w:szCs w:val="24"/>
        </w:rPr>
      </w:pPr>
      <w:r w:rsidRPr="009C6530">
        <w:rPr>
          <w:rFonts w:ascii="Georgia" w:hAnsi="Georgia"/>
          <w:i/>
          <w:sz w:val="24"/>
          <w:szCs w:val="24"/>
        </w:rPr>
        <w:t>How key variables will be defined and measured</w:t>
      </w:r>
      <w:r w:rsidR="00A14659">
        <w:rPr>
          <w:rFonts w:ascii="Georgia" w:hAnsi="Georgia"/>
          <w:i/>
          <w:sz w:val="24"/>
          <w:szCs w:val="24"/>
        </w:rPr>
        <w:t>,</w:t>
      </w:r>
      <w:r w:rsidRPr="009C6530">
        <w:rPr>
          <w:rFonts w:ascii="Georgia" w:hAnsi="Georgia"/>
          <w:i/>
          <w:sz w:val="24"/>
          <w:szCs w:val="24"/>
        </w:rPr>
        <w:t xml:space="preserve"> and the general app</w:t>
      </w:r>
      <w:r w:rsidR="007301A3">
        <w:rPr>
          <w:rFonts w:ascii="Georgia" w:hAnsi="Georgia"/>
          <w:i/>
          <w:sz w:val="24"/>
          <w:szCs w:val="24"/>
        </w:rPr>
        <w:t>roach to analysis of the data.</w:t>
      </w:r>
    </w:p>
    <w:p w:rsidR="008132F5" w:rsidRPr="00A054C8" w:rsidRDefault="00A705F4" w:rsidP="003308E3">
      <w:pPr>
        <w:spacing w:before="120"/>
        <w:rPr>
          <w:rFonts w:ascii="Georgia" w:hAnsi="Georgia"/>
          <w:b/>
          <w:sz w:val="24"/>
          <w:szCs w:val="24"/>
        </w:rPr>
      </w:pPr>
      <w:r w:rsidRPr="00A054C8">
        <w:rPr>
          <w:rFonts w:ascii="Georgia" w:hAnsi="Georgia"/>
          <w:b/>
          <w:sz w:val="24"/>
          <w:szCs w:val="24"/>
        </w:rPr>
        <w:t>Software design strategy</w:t>
      </w:r>
    </w:p>
    <w:p w:rsidR="00A054C8" w:rsidRDefault="00B277CE" w:rsidP="003308E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A054C8" w:rsidRDefault="00A054C8" w:rsidP="003308E3">
      <w:pPr>
        <w:numPr>
          <w:ilvl w:val="0"/>
          <w:numId w:val="6"/>
        </w:numPr>
        <w:spacing w:before="120"/>
        <w:rPr>
          <w:rFonts w:ascii="Georgia" w:hAnsi="Georgia"/>
          <w:sz w:val="24"/>
          <w:szCs w:val="24"/>
        </w:rPr>
      </w:pPr>
      <w:r>
        <w:rPr>
          <w:rFonts w:ascii="Georgia" w:hAnsi="Georgia"/>
          <w:sz w:val="24"/>
          <w:szCs w:val="24"/>
        </w:rPr>
        <w:t>Classification of bioinformatics tasks</w:t>
      </w:r>
    </w:p>
    <w:p w:rsidR="00A054C8" w:rsidRDefault="00A054C8" w:rsidP="003308E3">
      <w:pPr>
        <w:numPr>
          <w:ilvl w:val="0"/>
          <w:numId w:val="6"/>
        </w:numPr>
        <w:spacing w:before="120"/>
        <w:rPr>
          <w:rFonts w:ascii="Georgia" w:hAnsi="Georgia"/>
          <w:sz w:val="24"/>
          <w:szCs w:val="24"/>
        </w:rPr>
      </w:pPr>
      <w:r>
        <w:rPr>
          <w:rFonts w:ascii="Georgia" w:hAnsi="Georgia"/>
          <w:sz w:val="24"/>
          <w:szCs w:val="24"/>
        </w:rPr>
        <w:t>General query and workflow requirements</w:t>
      </w:r>
    </w:p>
    <w:p w:rsidR="00A054C8" w:rsidRPr="00A054C8" w:rsidRDefault="00A054C8" w:rsidP="003308E3">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226230">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226230">
        <w:rPr>
          <w:rFonts w:ascii="Georgia" w:hAnsi="Georgia"/>
          <w:sz w:val="24"/>
          <w:szCs w:val="24"/>
        </w:rPr>
        <w:fldChar w:fldCharType="separate"/>
      </w:r>
      <w:r w:rsidR="001B4144">
        <w:rPr>
          <w:rFonts w:ascii="Georgia" w:hAnsi="Georgia"/>
          <w:sz w:val="24"/>
          <w:szCs w:val="24"/>
        </w:rPr>
        <w:t>(30)</w:t>
      </w:r>
      <w:r w:rsidR="00226230">
        <w:rPr>
          <w:rFonts w:ascii="Georgia" w:hAnsi="Georgia"/>
          <w:sz w:val="24"/>
          <w:szCs w:val="24"/>
        </w:rPr>
        <w:fldChar w:fldCharType="end"/>
      </w:r>
    </w:p>
    <w:p w:rsidR="00835F05" w:rsidRDefault="00835F05" w:rsidP="003308E3">
      <w:pPr>
        <w:spacing w:before="120"/>
        <w:rPr>
          <w:rFonts w:ascii="Georgia" w:hAnsi="Georgia"/>
          <w:sz w:val="24"/>
          <w:szCs w:val="24"/>
        </w:rPr>
      </w:pPr>
    </w:p>
    <w:p w:rsidR="00A054C8" w:rsidRDefault="00A054C8" w:rsidP="003308E3">
      <w:pPr>
        <w:spacing w:before="120"/>
        <w:ind w:left="720"/>
        <w:rPr>
          <w:rFonts w:ascii="Georgia" w:hAnsi="Georgia"/>
          <w:sz w:val="24"/>
          <w:szCs w:val="24"/>
        </w:rPr>
      </w:pPr>
    </w:p>
    <w:p w:rsidR="00A054C8" w:rsidRPr="00A054C8" w:rsidRDefault="00A054C8" w:rsidP="003308E3">
      <w:pPr>
        <w:spacing w:before="120"/>
        <w:rPr>
          <w:rFonts w:ascii="Georgia" w:hAnsi="Georgia"/>
          <w:sz w:val="24"/>
          <w:szCs w:val="24"/>
        </w:rPr>
      </w:pPr>
    </w:p>
    <w:p w:rsidR="00A054C8" w:rsidRPr="00A054C8" w:rsidRDefault="00A054C8" w:rsidP="003308E3">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3308E3">
      <w:pPr>
        <w:spacing w:before="120"/>
        <w:rPr>
          <w:rFonts w:ascii="Georgia" w:hAnsi="Georgia"/>
          <w:sz w:val="24"/>
          <w:szCs w:val="24"/>
        </w:rPr>
      </w:pPr>
    </w:p>
    <w:p w:rsidR="00A054C8" w:rsidRDefault="00A054C8" w:rsidP="003308E3">
      <w:pPr>
        <w:spacing w:before="120"/>
        <w:rPr>
          <w:rFonts w:ascii="Georgia" w:hAnsi="Georgia"/>
          <w:sz w:val="24"/>
          <w:szCs w:val="24"/>
        </w:rPr>
      </w:pPr>
      <w:r>
        <w:rPr>
          <w:rFonts w:ascii="Georgia" w:hAnsi="Georgia"/>
          <w:sz w:val="24"/>
          <w:szCs w:val="24"/>
        </w:rPr>
        <w:t>Goes here…</w:t>
      </w:r>
    </w:p>
    <w:p w:rsidR="00A054C8" w:rsidRPr="00A054C8" w:rsidRDefault="00A054C8"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2F7137" w:rsidRPr="009C6530" w:rsidRDefault="00163692" w:rsidP="003308E3">
      <w:pPr>
        <w:spacing w:before="120"/>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rsidP="003308E3">
      <w:pPr>
        <w:spacing w:before="120"/>
        <w:rPr>
          <w:rFonts w:ascii="Georgia" w:hAnsi="Georgia"/>
          <w:b/>
          <w:sz w:val="28"/>
          <w:szCs w:val="28"/>
        </w:rPr>
      </w:pPr>
    </w:p>
    <w:p w:rsidR="002F7137" w:rsidRDefault="00163692" w:rsidP="003308E3">
      <w:pPr>
        <w:spacing w:before="120"/>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3308E3">
      <w:pPr>
        <w:spacing w:before="120"/>
        <w:ind w:firstLine="720"/>
        <w:rPr>
          <w:rFonts w:ascii="Georgia" w:hAnsi="Georgia"/>
          <w:sz w:val="28"/>
          <w:szCs w:val="28"/>
        </w:rPr>
      </w:pPr>
      <w:r>
        <w:rPr>
          <w:rFonts w:ascii="Georgia" w:hAnsi="Georgia"/>
          <w:sz w:val="28"/>
          <w:szCs w:val="28"/>
        </w:rPr>
        <w:t>HPC cluster time</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Production server</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Development server</w:t>
      </w:r>
    </w:p>
    <w:p w:rsidR="001A03F1" w:rsidRPr="009C6530" w:rsidRDefault="00B41EC8" w:rsidP="003308E3">
      <w:pPr>
        <w:spacing w:before="120"/>
        <w:rPr>
          <w:rFonts w:ascii="Georgia" w:hAnsi="Georgia"/>
        </w:rPr>
      </w:pPr>
      <w:r w:rsidRPr="009C6530">
        <w:rPr>
          <w:rFonts w:ascii="Georgia" w:hAnsi="Georgia"/>
        </w:rPr>
        <w:tab/>
      </w: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Default="00CA6CE3" w:rsidP="003308E3">
      <w:pPr>
        <w:spacing w:before="120"/>
        <w:rPr>
          <w:rFonts w:ascii="Georgia" w:hAnsi="Georgia"/>
        </w:rPr>
      </w:pPr>
    </w:p>
    <w:p w:rsidR="00BE66CA" w:rsidRDefault="00BE66CA" w:rsidP="003308E3">
      <w:pPr>
        <w:spacing w:before="120"/>
        <w:rPr>
          <w:rFonts w:ascii="Georgia" w:hAnsi="Georgia"/>
        </w:rPr>
      </w:pPr>
    </w:p>
    <w:p w:rsidR="00BE66CA" w:rsidRPr="009C6530" w:rsidRDefault="00BE66CA" w:rsidP="003308E3">
      <w:pPr>
        <w:spacing w:before="120"/>
        <w:rPr>
          <w:rFonts w:ascii="Georgia" w:hAnsi="Georgia"/>
        </w:rPr>
      </w:pPr>
    </w:p>
    <w:p w:rsidR="00074A2E" w:rsidRPr="00BE66CA" w:rsidRDefault="00BE66CA" w:rsidP="00074A2E">
      <w:pPr>
        <w:spacing w:before="120"/>
        <w:rPr>
          <w:rFonts w:ascii="Georgia" w:hAnsi="Georgia"/>
          <w:sz w:val="44"/>
          <w:szCs w:val="44"/>
        </w:rPr>
      </w:pPr>
      <w:r>
        <w:rPr>
          <w:rFonts w:ascii="Georgia" w:hAnsi="Georgia"/>
          <w:sz w:val="32"/>
          <w:szCs w:val="32"/>
        </w:rPr>
        <w:br w:type="page"/>
      </w:r>
      <w:r w:rsidR="00074A2E" w:rsidRPr="00BE66CA">
        <w:rPr>
          <w:rFonts w:ascii="Georgia" w:hAnsi="Georgia"/>
          <w:sz w:val="44"/>
          <w:szCs w:val="44"/>
        </w:rPr>
        <w:lastRenderedPageBreak/>
        <w:t xml:space="preserve">Timeline </w:t>
      </w:r>
    </w:p>
    <w:p w:rsidR="00DB4D2E" w:rsidRDefault="00DB4D2E" w:rsidP="00074A2E">
      <w:pPr>
        <w:spacing w:before="120"/>
      </w:pPr>
    </w:p>
    <w:p w:rsidR="00DB4D2E" w:rsidRDefault="00DB4D2E"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074A2E" w:rsidRPr="00BE66CA" w:rsidRDefault="00BE51B5" w:rsidP="00074A2E">
      <w:pPr>
        <w:spacing w:before="120"/>
        <w:rPr>
          <w:rFonts w:ascii="Georgia" w:hAnsi="Georgia"/>
          <w:sz w:val="44"/>
          <w:szCs w:val="44"/>
        </w:rPr>
      </w:pPr>
      <w:r>
        <w:rPr>
          <w:rFonts w:ascii="Georgia" w:hAnsi="Georgia"/>
          <w:sz w:val="44"/>
          <w:szCs w:val="44"/>
        </w:rPr>
        <w:br w:type="page"/>
      </w:r>
      <w:r w:rsidR="00F81F2E" w:rsidRPr="00BE66CA">
        <w:rPr>
          <w:rFonts w:ascii="Georgia" w:hAnsi="Georgia"/>
          <w:sz w:val="44"/>
          <w:szCs w:val="44"/>
        </w:rPr>
        <w:lastRenderedPageBreak/>
        <w:t>Milestones</w:t>
      </w:r>
    </w:p>
    <w:p w:rsidR="00CA6CE3" w:rsidRPr="009C6530" w:rsidRDefault="00CA6CE3" w:rsidP="003308E3">
      <w:pPr>
        <w:spacing w:before="120"/>
        <w:rPr>
          <w:rFonts w:ascii="Georgia" w:hAnsi="Georgia"/>
        </w:rPr>
      </w:pPr>
    </w:p>
    <w:p w:rsidR="006F55ED" w:rsidRPr="009C6530" w:rsidRDefault="00FD694C" w:rsidP="006F55ED">
      <w:pPr>
        <w:spacing w:before="120"/>
        <w:rPr>
          <w:rFonts w:ascii="Georgia" w:hAnsi="Georgia"/>
          <w:b/>
          <w:sz w:val="24"/>
          <w:szCs w:val="24"/>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3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3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sz w:val="24"/>
          <w:szCs w:val="24"/>
        </w:rPr>
      </w:pPr>
      <w:r w:rsidRPr="009C6530">
        <w:rPr>
          <w:rFonts w:ascii="Georgia" w:hAnsi="Georgia"/>
          <w:b/>
          <w:sz w:val="24"/>
          <w:szCs w:val="24"/>
        </w:rPr>
        <w:br w:type="page"/>
      </w:r>
      <w:r w:rsidRPr="009C6530">
        <w:rPr>
          <w:rFonts w:ascii="Georgia" w:hAnsi="Georgia"/>
          <w:sz w:val="24"/>
          <w:szCs w:val="24"/>
        </w:rPr>
        <w:lastRenderedPageBreak/>
        <w:t xml:space="preserve"> </w:t>
      </w: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3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3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lastRenderedPageBreak/>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226230"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38"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lastRenderedPageBreak/>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39"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226230"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44E" w:rsidRDefault="00C6344E" w:rsidP="00081495">
      <w:r>
        <w:separator/>
      </w:r>
    </w:p>
  </w:endnote>
  <w:endnote w:type="continuationSeparator" w:id="1">
    <w:p w:rsidR="00C6344E" w:rsidRDefault="00C6344E"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44E" w:rsidRDefault="00C6344E" w:rsidP="00081495">
      <w:r>
        <w:separator/>
      </w:r>
    </w:p>
  </w:footnote>
  <w:footnote w:type="continuationSeparator" w:id="1">
    <w:p w:rsidR="00C6344E" w:rsidRDefault="00C6344E"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1"/>
  </w:num>
  <w:num w:numId="5">
    <w:abstractNumId w:val="16"/>
  </w:num>
  <w:num w:numId="6">
    <w:abstractNumId w:val="15"/>
  </w:num>
  <w:num w:numId="7">
    <w:abstractNumId w:val="22"/>
  </w:num>
  <w:num w:numId="8">
    <w:abstractNumId w:val="7"/>
  </w:num>
  <w:num w:numId="9">
    <w:abstractNumId w:val="10"/>
  </w:num>
  <w:num w:numId="10">
    <w:abstractNumId w:val="1"/>
  </w:num>
  <w:num w:numId="11">
    <w:abstractNumId w:val="12"/>
  </w:num>
  <w:num w:numId="12">
    <w:abstractNumId w:val="19"/>
  </w:num>
  <w:num w:numId="13">
    <w:abstractNumId w:val="3"/>
  </w:num>
  <w:num w:numId="14">
    <w:abstractNumId w:val="18"/>
  </w:num>
  <w:num w:numId="15">
    <w:abstractNumId w:val="5"/>
  </w:num>
  <w:num w:numId="16">
    <w:abstractNumId w:val="13"/>
  </w:num>
  <w:num w:numId="17">
    <w:abstractNumId w:val="20"/>
  </w:num>
  <w:num w:numId="18">
    <w:abstractNumId w:val="2"/>
  </w:num>
  <w:num w:numId="19">
    <w:abstractNumId w:val="21"/>
  </w:num>
  <w:num w:numId="20">
    <w:abstractNumId w:val="9"/>
  </w:num>
  <w:num w:numId="21">
    <w:abstractNumId w:val="6"/>
  </w:num>
  <w:num w:numId="22">
    <w:abstractNumId w:val="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616B"/>
    <w:rsid w:val="00027C10"/>
    <w:rsid w:val="00034E15"/>
    <w:rsid w:val="00037A0F"/>
    <w:rsid w:val="000534B3"/>
    <w:rsid w:val="00072F47"/>
    <w:rsid w:val="00074A2E"/>
    <w:rsid w:val="00081495"/>
    <w:rsid w:val="000866F0"/>
    <w:rsid w:val="00087D03"/>
    <w:rsid w:val="00091BFD"/>
    <w:rsid w:val="00092741"/>
    <w:rsid w:val="000941FE"/>
    <w:rsid w:val="00096F02"/>
    <w:rsid w:val="000B0B18"/>
    <w:rsid w:val="000B1747"/>
    <w:rsid w:val="000B29AF"/>
    <w:rsid w:val="000B3836"/>
    <w:rsid w:val="000B4BFC"/>
    <w:rsid w:val="000C0FAE"/>
    <w:rsid w:val="000C20B7"/>
    <w:rsid w:val="000D771A"/>
    <w:rsid w:val="000E017B"/>
    <w:rsid w:val="000E20D2"/>
    <w:rsid w:val="000F0584"/>
    <w:rsid w:val="000F57AA"/>
    <w:rsid w:val="000F746E"/>
    <w:rsid w:val="00101184"/>
    <w:rsid w:val="001011DB"/>
    <w:rsid w:val="00102B8D"/>
    <w:rsid w:val="00104A8C"/>
    <w:rsid w:val="0011185E"/>
    <w:rsid w:val="00115C3F"/>
    <w:rsid w:val="001450F6"/>
    <w:rsid w:val="001465F6"/>
    <w:rsid w:val="00152F3B"/>
    <w:rsid w:val="00156EDF"/>
    <w:rsid w:val="00163692"/>
    <w:rsid w:val="00165C4F"/>
    <w:rsid w:val="001731DA"/>
    <w:rsid w:val="00180242"/>
    <w:rsid w:val="00181A69"/>
    <w:rsid w:val="00185204"/>
    <w:rsid w:val="00187A1C"/>
    <w:rsid w:val="00192C51"/>
    <w:rsid w:val="001A03F1"/>
    <w:rsid w:val="001A3CB2"/>
    <w:rsid w:val="001A47AD"/>
    <w:rsid w:val="001A4E14"/>
    <w:rsid w:val="001B07F9"/>
    <w:rsid w:val="001B4144"/>
    <w:rsid w:val="001C1E1F"/>
    <w:rsid w:val="001C2DCD"/>
    <w:rsid w:val="001D2533"/>
    <w:rsid w:val="001E0906"/>
    <w:rsid w:val="001E4826"/>
    <w:rsid w:val="001F342D"/>
    <w:rsid w:val="001F7595"/>
    <w:rsid w:val="00202526"/>
    <w:rsid w:val="00205E1F"/>
    <w:rsid w:val="002069DE"/>
    <w:rsid w:val="002074AF"/>
    <w:rsid w:val="00214542"/>
    <w:rsid w:val="00217660"/>
    <w:rsid w:val="00226230"/>
    <w:rsid w:val="0023283B"/>
    <w:rsid w:val="00232B57"/>
    <w:rsid w:val="00235B88"/>
    <w:rsid w:val="00236C25"/>
    <w:rsid w:val="00242B69"/>
    <w:rsid w:val="0024503E"/>
    <w:rsid w:val="00245F96"/>
    <w:rsid w:val="0026720C"/>
    <w:rsid w:val="0027525D"/>
    <w:rsid w:val="002761AD"/>
    <w:rsid w:val="00285FA3"/>
    <w:rsid w:val="00295C81"/>
    <w:rsid w:val="0029651A"/>
    <w:rsid w:val="00297A8A"/>
    <w:rsid w:val="002A37F6"/>
    <w:rsid w:val="002A451D"/>
    <w:rsid w:val="002A4B70"/>
    <w:rsid w:val="002A5CD4"/>
    <w:rsid w:val="002B050C"/>
    <w:rsid w:val="002B221E"/>
    <w:rsid w:val="002B389F"/>
    <w:rsid w:val="002C420D"/>
    <w:rsid w:val="002C64FC"/>
    <w:rsid w:val="002D52BC"/>
    <w:rsid w:val="002E1AC8"/>
    <w:rsid w:val="002E2EE3"/>
    <w:rsid w:val="002F1B9C"/>
    <w:rsid w:val="002F7137"/>
    <w:rsid w:val="00312B24"/>
    <w:rsid w:val="0031558F"/>
    <w:rsid w:val="00324015"/>
    <w:rsid w:val="003243B6"/>
    <w:rsid w:val="003308E3"/>
    <w:rsid w:val="00333C76"/>
    <w:rsid w:val="00335360"/>
    <w:rsid w:val="00341CEE"/>
    <w:rsid w:val="00343DE4"/>
    <w:rsid w:val="003626F0"/>
    <w:rsid w:val="003647B2"/>
    <w:rsid w:val="00373F01"/>
    <w:rsid w:val="0038026D"/>
    <w:rsid w:val="00386A11"/>
    <w:rsid w:val="0039349A"/>
    <w:rsid w:val="00395808"/>
    <w:rsid w:val="003B10D6"/>
    <w:rsid w:val="003B119B"/>
    <w:rsid w:val="003B1AE1"/>
    <w:rsid w:val="003C3DE8"/>
    <w:rsid w:val="003D0F36"/>
    <w:rsid w:val="003D5587"/>
    <w:rsid w:val="003D6049"/>
    <w:rsid w:val="003E453A"/>
    <w:rsid w:val="003E6793"/>
    <w:rsid w:val="003F1B2C"/>
    <w:rsid w:val="003F2DF7"/>
    <w:rsid w:val="003F6C4C"/>
    <w:rsid w:val="00403A82"/>
    <w:rsid w:val="00411B04"/>
    <w:rsid w:val="00413A48"/>
    <w:rsid w:val="00416C92"/>
    <w:rsid w:val="00436492"/>
    <w:rsid w:val="0044131F"/>
    <w:rsid w:val="0044196D"/>
    <w:rsid w:val="00441F3A"/>
    <w:rsid w:val="00453CC8"/>
    <w:rsid w:val="00457B29"/>
    <w:rsid w:val="00460D00"/>
    <w:rsid w:val="00463AB6"/>
    <w:rsid w:val="0046765E"/>
    <w:rsid w:val="004676A6"/>
    <w:rsid w:val="00472EE9"/>
    <w:rsid w:val="00483D7F"/>
    <w:rsid w:val="00490423"/>
    <w:rsid w:val="00491F7E"/>
    <w:rsid w:val="00494C32"/>
    <w:rsid w:val="004A0C98"/>
    <w:rsid w:val="004A287B"/>
    <w:rsid w:val="004B259F"/>
    <w:rsid w:val="004B5362"/>
    <w:rsid w:val="004B7049"/>
    <w:rsid w:val="004C4EE9"/>
    <w:rsid w:val="004C5B49"/>
    <w:rsid w:val="004D1203"/>
    <w:rsid w:val="004E74DD"/>
    <w:rsid w:val="004F19CA"/>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736DF"/>
    <w:rsid w:val="00582198"/>
    <w:rsid w:val="0058248C"/>
    <w:rsid w:val="00585FD0"/>
    <w:rsid w:val="00586C0B"/>
    <w:rsid w:val="005910BF"/>
    <w:rsid w:val="00592ECC"/>
    <w:rsid w:val="00596F1E"/>
    <w:rsid w:val="005A12D9"/>
    <w:rsid w:val="005A1A8C"/>
    <w:rsid w:val="005A4520"/>
    <w:rsid w:val="005A7836"/>
    <w:rsid w:val="005C4D3B"/>
    <w:rsid w:val="005C716E"/>
    <w:rsid w:val="005D43D5"/>
    <w:rsid w:val="005D5336"/>
    <w:rsid w:val="005D5C1A"/>
    <w:rsid w:val="005D69F0"/>
    <w:rsid w:val="005E459C"/>
    <w:rsid w:val="005E507A"/>
    <w:rsid w:val="005F4359"/>
    <w:rsid w:val="005F5833"/>
    <w:rsid w:val="00600018"/>
    <w:rsid w:val="00603164"/>
    <w:rsid w:val="00604133"/>
    <w:rsid w:val="00604A1C"/>
    <w:rsid w:val="00610AA2"/>
    <w:rsid w:val="00611182"/>
    <w:rsid w:val="006154E1"/>
    <w:rsid w:val="006159D6"/>
    <w:rsid w:val="0062440A"/>
    <w:rsid w:val="0062571C"/>
    <w:rsid w:val="00625807"/>
    <w:rsid w:val="00630FB7"/>
    <w:rsid w:val="006332A0"/>
    <w:rsid w:val="00633E18"/>
    <w:rsid w:val="006353CB"/>
    <w:rsid w:val="00642F12"/>
    <w:rsid w:val="00643E0D"/>
    <w:rsid w:val="00657EC0"/>
    <w:rsid w:val="0066008A"/>
    <w:rsid w:val="006600BC"/>
    <w:rsid w:val="006617D1"/>
    <w:rsid w:val="00662BAF"/>
    <w:rsid w:val="00665332"/>
    <w:rsid w:val="006679B2"/>
    <w:rsid w:val="00671FF7"/>
    <w:rsid w:val="00672042"/>
    <w:rsid w:val="00673172"/>
    <w:rsid w:val="006744EC"/>
    <w:rsid w:val="00674693"/>
    <w:rsid w:val="006800D9"/>
    <w:rsid w:val="0068083F"/>
    <w:rsid w:val="0068149E"/>
    <w:rsid w:val="00692473"/>
    <w:rsid w:val="006930BE"/>
    <w:rsid w:val="006A2CE1"/>
    <w:rsid w:val="006A45FC"/>
    <w:rsid w:val="006A54D9"/>
    <w:rsid w:val="006C0670"/>
    <w:rsid w:val="006C071A"/>
    <w:rsid w:val="006C0FFF"/>
    <w:rsid w:val="006C1561"/>
    <w:rsid w:val="006D203F"/>
    <w:rsid w:val="006E067E"/>
    <w:rsid w:val="006E4A6F"/>
    <w:rsid w:val="006E62D7"/>
    <w:rsid w:val="006E75DD"/>
    <w:rsid w:val="006F25D8"/>
    <w:rsid w:val="006F55ED"/>
    <w:rsid w:val="006F7489"/>
    <w:rsid w:val="00703F28"/>
    <w:rsid w:val="007105B6"/>
    <w:rsid w:val="00712798"/>
    <w:rsid w:val="00722414"/>
    <w:rsid w:val="0072685B"/>
    <w:rsid w:val="007301A3"/>
    <w:rsid w:val="00740F92"/>
    <w:rsid w:val="00746365"/>
    <w:rsid w:val="00747110"/>
    <w:rsid w:val="00752535"/>
    <w:rsid w:val="00752682"/>
    <w:rsid w:val="00760328"/>
    <w:rsid w:val="00760AAB"/>
    <w:rsid w:val="007714F0"/>
    <w:rsid w:val="007722A9"/>
    <w:rsid w:val="0077358B"/>
    <w:rsid w:val="00785CD2"/>
    <w:rsid w:val="00787CD7"/>
    <w:rsid w:val="007A7E14"/>
    <w:rsid w:val="007B1F93"/>
    <w:rsid w:val="007B47CE"/>
    <w:rsid w:val="007C53AC"/>
    <w:rsid w:val="007D219F"/>
    <w:rsid w:val="007D5B57"/>
    <w:rsid w:val="007D5B94"/>
    <w:rsid w:val="007D631D"/>
    <w:rsid w:val="007E0AAE"/>
    <w:rsid w:val="007E59DD"/>
    <w:rsid w:val="007F0642"/>
    <w:rsid w:val="007F2720"/>
    <w:rsid w:val="007F325F"/>
    <w:rsid w:val="00802D51"/>
    <w:rsid w:val="00810B4D"/>
    <w:rsid w:val="00811699"/>
    <w:rsid w:val="008132F5"/>
    <w:rsid w:val="008200B6"/>
    <w:rsid w:val="008217F6"/>
    <w:rsid w:val="008311F8"/>
    <w:rsid w:val="00835343"/>
    <w:rsid w:val="00835F05"/>
    <w:rsid w:val="00837801"/>
    <w:rsid w:val="0084198D"/>
    <w:rsid w:val="00841D8C"/>
    <w:rsid w:val="00850652"/>
    <w:rsid w:val="008557CC"/>
    <w:rsid w:val="00860390"/>
    <w:rsid w:val="00863C99"/>
    <w:rsid w:val="00870B93"/>
    <w:rsid w:val="008718BF"/>
    <w:rsid w:val="008739E0"/>
    <w:rsid w:val="00875908"/>
    <w:rsid w:val="00877816"/>
    <w:rsid w:val="00880811"/>
    <w:rsid w:val="008857D8"/>
    <w:rsid w:val="0088591F"/>
    <w:rsid w:val="00892E0A"/>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23C95"/>
    <w:rsid w:val="00932888"/>
    <w:rsid w:val="00932D3D"/>
    <w:rsid w:val="00932DC3"/>
    <w:rsid w:val="0093670F"/>
    <w:rsid w:val="009421E9"/>
    <w:rsid w:val="00942B19"/>
    <w:rsid w:val="00951E1A"/>
    <w:rsid w:val="00953888"/>
    <w:rsid w:val="00961D6F"/>
    <w:rsid w:val="009706C6"/>
    <w:rsid w:val="00970AB5"/>
    <w:rsid w:val="00990DD8"/>
    <w:rsid w:val="00991DE3"/>
    <w:rsid w:val="00995DA1"/>
    <w:rsid w:val="009A23CB"/>
    <w:rsid w:val="009B01E3"/>
    <w:rsid w:val="009B647D"/>
    <w:rsid w:val="009C12C0"/>
    <w:rsid w:val="009C4F8E"/>
    <w:rsid w:val="009C540C"/>
    <w:rsid w:val="009C637A"/>
    <w:rsid w:val="009C6530"/>
    <w:rsid w:val="009D0362"/>
    <w:rsid w:val="009D346B"/>
    <w:rsid w:val="009D5FC8"/>
    <w:rsid w:val="009D762C"/>
    <w:rsid w:val="009E098A"/>
    <w:rsid w:val="009E2B6D"/>
    <w:rsid w:val="009E356B"/>
    <w:rsid w:val="009E40D9"/>
    <w:rsid w:val="009F2D9D"/>
    <w:rsid w:val="00A054C8"/>
    <w:rsid w:val="00A07C51"/>
    <w:rsid w:val="00A101FC"/>
    <w:rsid w:val="00A14659"/>
    <w:rsid w:val="00A15299"/>
    <w:rsid w:val="00A17D6F"/>
    <w:rsid w:val="00A21AFD"/>
    <w:rsid w:val="00A25437"/>
    <w:rsid w:val="00A26DDD"/>
    <w:rsid w:val="00A42503"/>
    <w:rsid w:val="00A45F6E"/>
    <w:rsid w:val="00A462DC"/>
    <w:rsid w:val="00A4770F"/>
    <w:rsid w:val="00A5008F"/>
    <w:rsid w:val="00A51A00"/>
    <w:rsid w:val="00A51C75"/>
    <w:rsid w:val="00A637D5"/>
    <w:rsid w:val="00A70289"/>
    <w:rsid w:val="00A705F4"/>
    <w:rsid w:val="00A72B60"/>
    <w:rsid w:val="00A73062"/>
    <w:rsid w:val="00A95144"/>
    <w:rsid w:val="00A953DC"/>
    <w:rsid w:val="00AB12B6"/>
    <w:rsid w:val="00AB3FE5"/>
    <w:rsid w:val="00AC3367"/>
    <w:rsid w:val="00AC33EB"/>
    <w:rsid w:val="00AD36C7"/>
    <w:rsid w:val="00AF4AB5"/>
    <w:rsid w:val="00AF55D2"/>
    <w:rsid w:val="00B008D4"/>
    <w:rsid w:val="00B017EB"/>
    <w:rsid w:val="00B07555"/>
    <w:rsid w:val="00B10BA2"/>
    <w:rsid w:val="00B113B7"/>
    <w:rsid w:val="00B12016"/>
    <w:rsid w:val="00B124DA"/>
    <w:rsid w:val="00B16BF5"/>
    <w:rsid w:val="00B16F50"/>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6661C"/>
    <w:rsid w:val="00B70BDB"/>
    <w:rsid w:val="00B717ED"/>
    <w:rsid w:val="00B72B28"/>
    <w:rsid w:val="00B73DF0"/>
    <w:rsid w:val="00B760F4"/>
    <w:rsid w:val="00B861AC"/>
    <w:rsid w:val="00B86E14"/>
    <w:rsid w:val="00B9022B"/>
    <w:rsid w:val="00B91986"/>
    <w:rsid w:val="00B926DF"/>
    <w:rsid w:val="00B928C3"/>
    <w:rsid w:val="00BA271E"/>
    <w:rsid w:val="00BA57E0"/>
    <w:rsid w:val="00BB2F9A"/>
    <w:rsid w:val="00BC17A8"/>
    <w:rsid w:val="00BC4536"/>
    <w:rsid w:val="00BC46C7"/>
    <w:rsid w:val="00BD037C"/>
    <w:rsid w:val="00BD186D"/>
    <w:rsid w:val="00BD3A5E"/>
    <w:rsid w:val="00BD64B2"/>
    <w:rsid w:val="00BE1B1E"/>
    <w:rsid w:val="00BE2C5B"/>
    <w:rsid w:val="00BE2D68"/>
    <w:rsid w:val="00BE51B5"/>
    <w:rsid w:val="00BE66CA"/>
    <w:rsid w:val="00BE7CB4"/>
    <w:rsid w:val="00BF0070"/>
    <w:rsid w:val="00BF2C86"/>
    <w:rsid w:val="00C10FC4"/>
    <w:rsid w:val="00C3328D"/>
    <w:rsid w:val="00C34C16"/>
    <w:rsid w:val="00C363AF"/>
    <w:rsid w:val="00C53A20"/>
    <w:rsid w:val="00C5792D"/>
    <w:rsid w:val="00C60CA4"/>
    <w:rsid w:val="00C6295E"/>
    <w:rsid w:val="00C6344E"/>
    <w:rsid w:val="00C71219"/>
    <w:rsid w:val="00C74D54"/>
    <w:rsid w:val="00C751BC"/>
    <w:rsid w:val="00C834E2"/>
    <w:rsid w:val="00C83600"/>
    <w:rsid w:val="00C86F17"/>
    <w:rsid w:val="00C97613"/>
    <w:rsid w:val="00CA3130"/>
    <w:rsid w:val="00CA6CE3"/>
    <w:rsid w:val="00CB0078"/>
    <w:rsid w:val="00CB352F"/>
    <w:rsid w:val="00CB494C"/>
    <w:rsid w:val="00CC049C"/>
    <w:rsid w:val="00CC1094"/>
    <w:rsid w:val="00CC3FE5"/>
    <w:rsid w:val="00CD20E4"/>
    <w:rsid w:val="00CD5C82"/>
    <w:rsid w:val="00CD6D91"/>
    <w:rsid w:val="00CE2A35"/>
    <w:rsid w:val="00CE6F38"/>
    <w:rsid w:val="00CF1857"/>
    <w:rsid w:val="00CF1A00"/>
    <w:rsid w:val="00CF4AAB"/>
    <w:rsid w:val="00CF6452"/>
    <w:rsid w:val="00D010A2"/>
    <w:rsid w:val="00D07130"/>
    <w:rsid w:val="00D11009"/>
    <w:rsid w:val="00D1491E"/>
    <w:rsid w:val="00D211B4"/>
    <w:rsid w:val="00D25E56"/>
    <w:rsid w:val="00D27380"/>
    <w:rsid w:val="00D340A2"/>
    <w:rsid w:val="00D46945"/>
    <w:rsid w:val="00D473F6"/>
    <w:rsid w:val="00D6550A"/>
    <w:rsid w:val="00D71C46"/>
    <w:rsid w:val="00D737BE"/>
    <w:rsid w:val="00D75271"/>
    <w:rsid w:val="00D90B89"/>
    <w:rsid w:val="00D91748"/>
    <w:rsid w:val="00D91857"/>
    <w:rsid w:val="00D96509"/>
    <w:rsid w:val="00DA0673"/>
    <w:rsid w:val="00DA16DC"/>
    <w:rsid w:val="00DB4D2E"/>
    <w:rsid w:val="00DB7C9B"/>
    <w:rsid w:val="00DC36CF"/>
    <w:rsid w:val="00DD2FCB"/>
    <w:rsid w:val="00DD3EA2"/>
    <w:rsid w:val="00DE475D"/>
    <w:rsid w:val="00DE5B84"/>
    <w:rsid w:val="00DF0E32"/>
    <w:rsid w:val="00DF13CB"/>
    <w:rsid w:val="00DF2E40"/>
    <w:rsid w:val="00DF34DA"/>
    <w:rsid w:val="00E00B12"/>
    <w:rsid w:val="00E03489"/>
    <w:rsid w:val="00E03B91"/>
    <w:rsid w:val="00E05783"/>
    <w:rsid w:val="00E13B1E"/>
    <w:rsid w:val="00E17D88"/>
    <w:rsid w:val="00E205B5"/>
    <w:rsid w:val="00E213F8"/>
    <w:rsid w:val="00E31396"/>
    <w:rsid w:val="00E34A5C"/>
    <w:rsid w:val="00E40A12"/>
    <w:rsid w:val="00E411A1"/>
    <w:rsid w:val="00E427AF"/>
    <w:rsid w:val="00E44E57"/>
    <w:rsid w:val="00E64220"/>
    <w:rsid w:val="00E67262"/>
    <w:rsid w:val="00E6772F"/>
    <w:rsid w:val="00E7140D"/>
    <w:rsid w:val="00E7661B"/>
    <w:rsid w:val="00E83329"/>
    <w:rsid w:val="00E97FCD"/>
    <w:rsid w:val="00EA053E"/>
    <w:rsid w:val="00EA0CE0"/>
    <w:rsid w:val="00EA4492"/>
    <w:rsid w:val="00EB2052"/>
    <w:rsid w:val="00EB2CE5"/>
    <w:rsid w:val="00EC5AE7"/>
    <w:rsid w:val="00EC644E"/>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50665"/>
    <w:rsid w:val="00F71D3C"/>
    <w:rsid w:val="00F72B00"/>
    <w:rsid w:val="00F761EC"/>
    <w:rsid w:val="00F81419"/>
    <w:rsid w:val="00F81F2E"/>
    <w:rsid w:val="00F825FC"/>
    <w:rsid w:val="00F826D5"/>
    <w:rsid w:val="00F82B32"/>
    <w:rsid w:val="00F84453"/>
    <w:rsid w:val="00F86B7C"/>
    <w:rsid w:val="00F913A7"/>
    <w:rsid w:val="00F949D7"/>
    <w:rsid w:val="00F96BE4"/>
    <w:rsid w:val="00FA0396"/>
    <w:rsid w:val="00FA217A"/>
    <w:rsid w:val="00FA3616"/>
    <w:rsid w:val="00FB0452"/>
    <w:rsid w:val="00FB15FE"/>
    <w:rsid w:val="00FC158A"/>
    <w:rsid w:val="00FC2662"/>
    <w:rsid w:val="00FC7D11"/>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image" Target="http://www.biomedcentral.com/graphics/article/email.gif" TargetMode="External"/><Relationship Id="rId39" Type="http://schemas.openxmlformats.org/officeDocument/2006/relationships/hyperlink" Target="http://maq.sourceforge.ne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mailto:brooksl@mail.nih.gov" TargetMode="External"/><Relationship Id="rId7" Type="http://schemas.openxmlformats.org/officeDocument/2006/relationships/endnotes" Target="endnotes.xml"/><Relationship Id="rId12" Type="http://schemas.openxmlformats.org/officeDocument/2006/relationships/hyperlink" Target="http://www.nabsys.com" TargetMode="External"/><Relationship Id="rId17" Type="http://schemas.openxmlformats.org/officeDocument/2006/relationships/image" Target="media/image3.png"/><Relationship Id="rId25" Type="http://schemas.openxmlformats.org/officeDocument/2006/relationships/hyperlink" Target="http://www.biomedcentral.com/logon/logon.asp?msg=ce" TargetMode="External"/><Relationship Id="rId33" Type="http://schemas.openxmlformats.org/officeDocument/2006/relationships/hyperlink" Target="http://www.webcitation.org/query.php?url=ftp://ftp.pasteur.fr/pub/GenSoft/unix/misc/Pise/&amp;refdoi=10.1186/1471-2105-6-87" TargetMode="External"/><Relationship Id="rId38" Type="http://schemas.openxmlformats.org/officeDocument/2006/relationships/hyperlink" Target="http://www.genome.gov/27527585" TargetMode="External"/><Relationship Id="rId2" Type="http://schemas.openxmlformats.org/officeDocument/2006/relationships/numbering" Target="numbering.xml"/><Relationship Id="rId16" Type="http://schemas.openxmlformats.org/officeDocument/2006/relationships/hyperlink" Target="http://www.nature.com/nature/journal/v417/n6885/full/417119a.html" TargetMode="External"/><Relationship Id="rId20" Type="http://schemas.openxmlformats.org/officeDocument/2006/relationships/hyperlink" Target="http://www.biomedcentral.com/logon/logon.asp?msg=ce" TargetMode="External"/><Relationship Id="rId29" Type="http://schemas.openxmlformats.org/officeDocument/2006/relationships/image" Target="http://www.biomedcentral.com/graphics/article/email-ca.gi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noporetech.com" TargetMode="External"/><Relationship Id="rId24" Type="http://schemas.openxmlformats.org/officeDocument/2006/relationships/image" Target="http://www.biomedcentral.com/graphics/article/email.gif" TargetMode="External"/><Relationship Id="rId32" Type="http://schemas.openxmlformats.org/officeDocument/2006/relationships/hyperlink" Target="ftp://ftp.pasteur.fr/pub/GenSoft/unix/misc/Pise/" TargetMode="External"/><Relationship Id="rId37" Type="http://schemas.openxmlformats.org/officeDocument/2006/relationships/hyperlink" Target="http://era.nih.gov/ElectronicReceipt/pdf_guidelines.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aggle.systemsbiology.net/docs/geese/firegoose/" TargetMode="External"/><Relationship Id="rId23" Type="http://schemas.openxmlformats.org/officeDocument/2006/relationships/hyperlink" Target="http://www.biomedcentral.com/logon/logon.asp?msg=ce" TargetMode="External"/><Relationship Id="rId28" Type="http://schemas.openxmlformats.org/officeDocument/2006/relationships/image" Target="media/image7.png"/><Relationship Id="rId36" Type="http://schemas.openxmlformats.org/officeDocument/2006/relationships/hyperlink" Target="http://grants.nih.gov/grants/funding/424/SF424_RR_Guide_General_Adobe_VerA.doc" TargetMode="External"/><Relationship Id="rId10" Type="http://schemas.openxmlformats.org/officeDocument/2006/relationships/hyperlink" Target="http://www.pacificbiosciences.com" TargetMode="External"/><Relationship Id="rId19" Type="http://schemas.openxmlformats.org/officeDocument/2006/relationships/image" Target="media/image5.png"/><Relationship Id="rId31" Type="http://schemas.openxmlformats.org/officeDocument/2006/relationships/hyperlink" Target="http://www.webcitation.org/query.php?url=http://if-web1.imb.uq.edu.au/Pise/5.a/gpipe.html&amp;refdoi=10.1186/1471-2105-6-87" TargetMode="External"/><Relationship Id="rId4" Type="http://schemas.openxmlformats.org/officeDocument/2006/relationships/settings" Target="settings.xml"/><Relationship Id="rId9" Type="http://schemas.openxmlformats.org/officeDocument/2006/relationships/hyperlink" Target="http://www.visigenbio.com" TargetMode="External"/><Relationship Id="rId14" Type="http://schemas.openxmlformats.org/officeDocument/2006/relationships/image" Target="media/image2.png"/><Relationship Id="rId22" Type="http://schemas.openxmlformats.org/officeDocument/2006/relationships/image" Target="http://www.biomedcentral.com/graphics/article/email.gif" TargetMode="External"/><Relationship Id="rId27" Type="http://schemas.openxmlformats.org/officeDocument/2006/relationships/hyperlink" Target="http://www.biomedcentral.com/logon/logon.asp?msg=ce" TargetMode="External"/><Relationship Id="rId30" Type="http://schemas.openxmlformats.org/officeDocument/2006/relationships/hyperlink" Target="http://if-web1.imb.uq.edu.au/Pise/5.a/gpipe.html" TargetMode="External"/><Relationship Id="rId35" Type="http://schemas.openxmlformats.org/officeDocument/2006/relationships/hyperlink" Target="http://grants.nih.gov/grants/guide/notice-files/not98-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5B9-B20D-45AE-996E-EF7FC94B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13577</Words>
  <Characters>77392</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90788</CharactersWithSpaces>
  <SharedDoc>false</SharedDoc>
  <HLinks>
    <vt:vector size="144" baseType="variant">
      <vt:variant>
        <vt:i4>3735677</vt:i4>
      </vt:variant>
      <vt:variant>
        <vt:i4>188</vt:i4>
      </vt:variant>
      <vt:variant>
        <vt:i4>0</vt:i4>
      </vt:variant>
      <vt:variant>
        <vt:i4>5</vt:i4>
      </vt:variant>
      <vt:variant>
        <vt:lpwstr>http://maq.sourceforge.net/</vt:lpwstr>
      </vt:variant>
      <vt:variant>
        <vt:lpwstr/>
      </vt:variant>
      <vt:variant>
        <vt:i4>2359334</vt:i4>
      </vt:variant>
      <vt:variant>
        <vt:i4>185</vt:i4>
      </vt:variant>
      <vt:variant>
        <vt:i4>0</vt:i4>
      </vt:variant>
      <vt:variant>
        <vt:i4>5</vt:i4>
      </vt:variant>
      <vt:variant>
        <vt:lpwstr>http://www.genome.gov/27527585</vt:lpwstr>
      </vt:variant>
      <vt:variant>
        <vt:lpwstr/>
      </vt:variant>
      <vt:variant>
        <vt:i4>7143502</vt:i4>
      </vt:variant>
      <vt:variant>
        <vt:i4>180</vt:i4>
      </vt:variant>
      <vt:variant>
        <vt:i4>0</vt:i4>
      </vt:variant>
      <vt:variant>
        <vt:i4>5</vt:i4>
      </vt:variant>
      <vt:variant>
        <vt:lpwstr>http://era.nih.gov/ElectronicReceipt/pdf_guidelines.htm</vt:lpwstr>
      </vt:variant>
      <vt:variant>
        <vt:lpwstr/>
      </vt:variant>
      <vt:variant>
        <vt:i4>7143498</vt:i4>
      </vt:variant>
      <vt:variant>
        <vt:i4>177</vt:i4>
      </vt:variant>
      <vt:variant>
        <vt:i4>0</vt:i4>
      </vt:variant>
      <vt:variant>
        <vt:i4>5</vt:i4>
      </vt:variant>
      <vt:variant>
        <vt:lpwstr>http://grants.nih.gov/grants/funding/424/SF424_RR_Guide_General_Adobe_VerA.doc</vt:lpwstr>
      </vt:variant>
      <vt:variant>
        <vt:lpwstr/>
      </vt:variant>
      <vt:variant>
        <vt:i4>6684734</vt:i4>
      </vt:variant>
      <vt:variant>
        <vt:i4>156</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153</vt:i4>
      </vt:variant>
      <vt:variant>
        <vt:i4>0</vt:i4>
      </vt:variant>
      <vt:variant>
        <vt:i4>5</vt:i4>
      </vt:variant>
      <vt:variant>
        <vt:lpwstr>ftp://ftp.pasteur.fr/pub/GenSoft/unix/misc/Pise/</vt:lpwstr>
      </vt:variant>
      <vt:variant>
        <vt:lpwstr/>
      </vt:variant>
      <vt:variant>
        <vt:i4>3407971</vt:i4>
      </vt:variant>
      <vt:variant>
        <vt:i4>150</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147</vt:i4>
      </vt:variant>
      <vt:variant>
        <vt:i4>0</vt:i4>
      </vt:variant>
      <vt:variant>
        <vt:i4>5</vt:i4>
      </vt:variant>
      <vt:variant>
        <vt:lpwstr>http://if-web1.imb.uq.edu.au/Pise/5.a/gpipe.html</vt:lpwstr>
      </vt:variant>
      <vt:variant>
        <vt:lpwstr/>
      </vt:variant>
      <vt:variant>
        <vt:i4>2490413</vt:i4>
      </vt:variant>
      <vt:variant>
        <vt:i4>141</vt:i4>
      </vt:variant>
      <vt:variant>
        <vt:i4>0</vt:i4>
      </vt:variant>
      <vt:variant>
        <vt:i4>5</vt:i4>
      </vt:variant>
      <vt:variant>
        <vt:lpwstr>http://www.biomedcentral.com/logon/logon.asp?msg=ce</vt:lpwstr>
      </vt:variant>
      <vt:variant>
        <vt:lpwstr/>
      </vt:variant>
      <vt:variant>
        <vt:i4>2490413</vt:i4>
      </vt:variant>
      <vt:variant>
        <vt:i4>135</vt:i4>
      </vt:variant>
      <vt:variant>
        <vt:i4>0</vt:i4>
      </vt:variant>
      <vt:variant>
        <vt:i4>5</vt:i4>
      </vt:variant>
      <vt:variant>
        <vt:lpwstr>http://www.biomedcentral.com/logon/logon.asp?msg=ce</vt:lpwstr>
      </vt:variant>
      <vt:variant>
        <vt:lpwstr/>
      </vt:variant>
      <vt:variant>
        <vt:i4>2490413</vt:i4>
      </vt:variant>
      <vt:variant>
        <vt:i4>129</vt:i4>
      </vt:variant>
      <vt:variant>
        <vt:i4>0</vt:i4>
      </vt:variant>
      <vt:variant>
        <vt:i4>5</vt:i4>
      </vt:variant>
      <vt:variant>
        <vt:lpwstr>http://www.biomedcentral.com/logon/logon.asp?msg=ce</vt:lpwstr>
      </vt:variant>
      <vt:variant>
        <vt:lpwstr/>
      </vt:variant>
      <vt:variant>
        <vt:i4>2490413</vt:i4>
      </vt:variant>
      <vt:variant>
        <vt:i4>123</vt:i4>
      </vt:variant>
      <vt:variant>
        <vt:i4>0</vt:i4>
      </vt:variant>
      <vt:variant>
        <vt:i4>5</vt:i4>
      </vt:variant>
      <vt:variant>
        <vt:lpwstr>http://www.biomedcentral.com/logon/logon.asp?msg=ce</vt:lpwstr>
      </vt:variant>
      <vt:variant>
        <vt:lpwstr/>
      </vt:variant>
      <vt:variant>
        <vt:i4>4653085</vt:i4>
      </vt:variant>
      <vt:variant>
        <vt:i4>120</vt:i4>
      </vt:variant>
      <vt:variant>
        <vt:i4>0</vt:i4>
      </vt:variant>
      <vt:variant>
        <vt:i4>5</vt:i4>
      </vt:variant>
      <vt:variant>
        <vt:lpwstr>http://www.nature.com/nature/journal/v417/n6885/full/417119a.html</vt:lpwstr>
      </vt:variant>
      <vt:variant>
        <vt:lpwstr/>
      </vt:variant>
      <vt:variant>
        <vt:i4>2490488</vt:i4>
      </vt:variant>
      <vt:variant>
        <vt:i4>117</vt:i4>
      </vt:variant>
      <vt:variant>
        <vt:i4>0</vt:i4>
      </vt:variant>
      <vt:variant>
        <vt:i4>5</vt:i4>
      </vt:variant>
      <vt:variant>
        <vt:lpwstr>http://gaggle.systemsbiology.net/docs/geese/firegoose/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6946824</vt:i4>
      </vt:variant>
      <vt:variant>
        <vt:i4>0</vt:i4>
      </vt:variant>
      <vt:variant>
        <vt:i4>0</vt:i4>
      </vt:variant>
      <vt:variant>
        <vt:i4>5</vt:i4>
      </vt:variant>
      <vt:variant>
        <vt:lpwstr>mailto:brooksl@mail.nih.gov</vt:lpwstr>
      </vt:variant>
      <vt:variant>
        <vt:lpwstr/>
      </vt:variant>
      <vt:variant>
        <vt:i4>6750250</vt:i4>
      </vt:variant>
      <vt:variant>
        <vt:i4>55393</vt:i4>
      </vt:variant>
      <vt:variant>
        <vt:i4>1030</vt:i4>
      </vt:variant>
      <vt:variant>
        <vt:i4>1</vt:i4>
      </vt:variant>
      <vt:variant>
        <vt:lpwstr>http://www.biomedcentral.com/graphics/article/email.gif</vt:lpwstr>
      </vt:variant>
      <vt:variant>
        <vt:lpwstr/>
      </vt:variant>
      <vt:variant>
        <vt:i4>6750250</vt:i4>
      </vt:variant>
      <vt:variant>
        <vt:i4>55579</vt:i4>
      </vt:variant>
      <vt:variant>
        <vt:i4>1031</vt:i4>
      </vt:variant>
      <vt:variant>
        <vt:i4>1</vt:i4>
      </vt:variant>
      <vt:variant>
        <vt:lpwstr>http://www.biomedcentral.com/graphics/article/email.gif</vt:lpwstr>
      </vt:variant>
      <vt:variant>
        <vt:lpwstr/>
      </vt:variant>
      <vt:variant>
        <vt:i4>6750250</vt:i4>
      </vt:variant>
      <vt:variant>
        <vt:i4>55762</vt:i4>
      </vt:variant>
      <vt:variant>
        <vt:i4>1032</vt:i4>
      </vt:variant>
      <vt:variant>
        <vt:i4>1</vt:i4>
      </vt:variant>
      <vt:variant>
        <vt:lpwstr>http://www.biomedcentral.com/graphics/article/email.gif</vt:lpwstr>
      </vt:variant>
      <vt:variant>
        <vt:lpwstr/>
      </vt:variant>
      <vt:variant>
        <vt:i4>7143529</vt:i4>
      </vt:variant>
      <vt:variant>
        <vt:i4>55950</vt:i4>
      </vt:variant>
      <vt:variant>
        <vt:i4>1033</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2009-04-14T16:52:00Z</dcterms:created>
  <dcterms:modified xsi:type="dcterms:W3CDTF">2009-04-14T16:52:00Z</dcterms:modified>
</cp:coreProperties>
</file>