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emf" ContentType="image/x-emf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color w:val="0000FF"/>
        </w:rPr>
        <w:t>Title Page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Agua: a </w:t>
      </w:r>
      <w:r>
        <w:rPr>
          <w:b/>
          <w:bCs/>
        </w:rPr>
        <w:t>c</w:t>
      </w:r>
      <w:r>
        <w:rPr>
          <w:b/>
          <w:bCs/>
        </w:rPr>
        <w:t xml:space="preserve">loud </w:t>
      </w:r>
      <w:r>
        <w:rPr>
          <w:b/>
          <w:bCs/>
        </w:rPr>
        <w:t>b</w:t>
      </w:r>
      <w:r>
        <w:rPr>
          <w:b/>
          <w:bCs/>
        </w:rPr>
        <w:t xml:space="preserve">ioinformatics </w:t>
      </w:r>
      <w:r>
        <w:rPr>
          <w:b/>
          <w:bCs/>
        </w:rPr>
        <w:t>w</w:t>
      </w:r>
      <w:r>
        <w:rPr>
          <w:b/>
          <w:bCs/>
        </w:rPr>
        <w:t xml:space="preserve">orkflow </w:t>
      </w:r>
      <w:r>
        <w:rPr>
          <w:b/>
          <w:bCs/>
        </w:rPr>
        <w:t>p</w:t>
      </w:r>
      <w:r>
        <w:rPr>
          <w:b/>
          <w:bCs/>
        </w:rPr>
        <w:t>latform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color w:val="0000FF"/>
        </w:rPr>
        <w:t>Abstract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The increasing availability of </w:t>
      </w:r>
      <w:r>
        <w:rPr/>
        <w:t xml:space="preserve">huge volumes of </w:t>
      </w:r>
      <w:r>
        <w:rPr/>
        <w:t xml:space="preserve">genomic data </w:t>
      </w:r>
      <w:r>
        <w:rPr/>
        <w:t xml:space="preserve">has given </w:t>
      </w:r>
      <w:r>
        <w:rPr/>
        <w:t>rise to a</w:t>
      </w:r>
      <w:r>
        <w:rPr/>
        <w:t xml:space="preserve"> </w:t>
      </w:r>
      <w:r>
        <w:rPr/>
        <w:t xml:space="preserve">crisis </w:t>
      </w:r>
      <w:r>
        <w:rPr/>
        <w:t xml:space="preserve">of reliance </w:t>
      </w:r>
      <w:r>
        <w:rPr/>
        <w:t xml:space="preserve">upon computational approaches </w:t>
      </w:r>
      <w:r>
        <w:rPr/>
        <w:t xml:space="preserve">that </w:t>
      </w:r>
      <w:r>
        <w:rPr/>
        <w:t xml:space="preserve">are scarcely reproducible and barely accessible. </w:t>
      </w:r>
      <w:r>
        <w:rPr/>
        <w:t xml:space="preserve">A lack of bioinformatics tools, personnel, workflow standards </w:t>
      </w:r>
      <w:r>
        <w:rPr/>
        <w:t xml:space="preserve">and computational power </w:t>
      </w:r>
      <w:r>
        <w:rPr/>
        <w:t>hinder</w:t>
      </w:r>
      <w:r>
        <w:rPr/>
        <w:t>s</w:t>
      </w:r>
      <w:r>
        <w:rPr/>
        <w:t xml:space="preserve"> the </w:t>
      </w:r>
      <w:r>
        <w:rPr/>
        <w:t xml:space="preserve">execution and </w:t>
      </w:r>
      <w:r>
        <w:rPr/>
        <w:t xml:space="preserve">replication of experiments </w:t>
      </w:r>
      <w:r>
        <w:rPr/>
        <w:t xml:space="preserve">by </w:t>
      </w:r>
      <w:r>
        <w:rPr/>
        <w:t>genomics</w:t>
      </w:r>
      <w:r>
        <w:rPr/>
        <w:t xml:space="preserve"> researchers</w:t>
      </w:r>
      <w:r>
        <w:rPr/>
        <w:t xml:space="preserve">. </w:t>
      </w:r>
      <w:r>
        <w:rPr/>
        <w:t xml:space="preserve">This problem is exacerbated as </w:t>
      </w:r>
      <w:r>
        <w:rPr/>
        <w:t>genomic analysis</w:t>
      </w:r>
      <w:r>
        <w:rPr/>
        <w:t xml:space="preserve"> spreads to life sciences disciplines where researchers are </w:t>
      </w:r>
      <w:r>
        <w:rPr/>
        <w:t xml:space="preserve">even less </w:t>
      </w:r>
      <w:r>
        <w:rPr/>
        <w:t xml:space="preserve">accustomed to high-throughput </w:t>
      </w:r>
      <w:r>
        <w:rPr/>
        <w:t>approaches</w:t>
      </w:r>
      <w:r>
        <w:rPr/>
        <w:t xml:space="preserve">. </w:t>
      </w:r>
      <w:r>
        <w:rPr/>
        <w:t xml:space="preserve">Agua </w:t>
      </w:r>
      <w:hyperlink r:id="rId2">
        <w:r>
          <w:rPr>
            <w:rStyle w:val="style20"/>
          </w:rPr>
          <w:t>http://www.aguadev.org</w:t>
        </w:r>
      </w:hyperlink>
      <w:r>
        <w:rPr/>
        <w:t xml:space="preserve"> lowers these technology barriers by providing a </w:t>
      </w:r>
      <w:r>
        <w:rPr/>
        <w:t>flexible,</w:t>
      </w:r>
      <w:r>
        <w:rPr/>
        <w:t xml:space="preserve"> end-to-end </w:t>
      </w:r>
      <w:r>
        <w:rPr/>
        <w:t xml:space="preserve">cloud bioinformatics </w:t>
      </w:r>
      <w:r>
        <w:rPr/>
        <w:t>workflow solution</w:t>
      </w:r>
      <w:r>
        <w:rPr/>
        <w:t xml:space="preserve">, from data </w:t>
      </w:r>
      <w:r>
        <w:rPr/>
        <w:t xml:space="preserve">provenance and </w:t>
      </w:r>
      <w:r>
        <w:rPr/>
        <w:t xml:space="preserve">management </w:t>
      </w:r>
      <w:r>
        <w:rPr/>
        <w:t>to</w:t>
      </w:r>
      <w:r>
        <w:rPr/>
        <w:t xml:space="preserve"> genomic visualization.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0000FF"/>
        </w:rPr>
        <w:t>Keywords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NGS, cloud, bioinformatics, workflows, visualization, version control, </w:t>
      </w:r>
      <w:r>
        <w:rPr/>
        <w:t>JSON</w:t>
      </w:r>
      <w:r>
        <w:rPr/>
        <w:t>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0000FF"/>
        </w:rPr>
        <w:t>Article subdivisions</w:t>
      </w:r>
    </w:p>
    <w:p>
      <w:pPr>
        <w:pStyle w:val="style0"/>
      </w:pPr>
      <w:r>
        <w:rPr>
          <w:color w:val="0000FF"/>
        </w:rPr>
      </w:r>
    </w:p>
    <w:p>
      <w:pPr>
        <w:pStyle w:val="style0"/>
      </w:pPr>
      <w:r>
        <w:rPr>
          <w:b/>
          <w:bCs/>
        </w:rPr>
        <w:t>Introduction</w:t>
      </w:r>
    </w:p>
    <w:p>
      <w:pPr>
        <w:pStyle w:val="style0"/>
      </w:pPr>
      <w:r>
        <w:rPr/>
      </w:r>
    </w:p>
    <w:p>
      <w:pPr>
        <w:pStyle w:val="style0"/>
      </w:pPr>
      <w:r>
        <w:rPr/>
        <w:t>Bio</w:t>
      </w:r>
      <w:r>
        <w:rPr/>
        <w:t xml:space="preserve">science </w:t>
      </w:r>
      <w:r>
        <w:rPr/>
        <w:t xml:space="preserve">is increasingly a quantitative analysis activity </w:t>
      </w:r>
      <w:r>
        <w:rPr/>
        <w:t xml:space="preserve">requiring the </w:t>
      </w:r>
      <w:r>
        <w:rPr/>
        <w:t>c</w:t>
      </w:r>
      <w:r>
        <w:rPr/>
        <w:t xml:space="preserve">omputational </w:t>
      </w:r>
      <w:r>
        <w:rPr/>
        <w:t xml:space="preserve">processing and </w:t>
      </w:r>
      <w:r>
        <w:rPr/>
        <w:t xml:space="preserve">interpretation of </w:t>
      </w:r>
      <w:r>
        <w:rPr/>
        <w:t xml:space="preserve">massive </w:t>
      </w:r>
      <w:r>
        <w:rPr/>
        <w:t xml:space="preserve">data sets. </w:t>
      </w:r>
      <w:r>
        <w:rPr/>
        <w:t>B</w:t>
      </w:r>
      <w:r>
        <w:rPr/>
        <w:t xml:space="preserve">iological data sets have multiplied to over 1,380 major Internet data sources </w:t>
      </w:r>
      <w:r>
        <w:rPr/>
        <w:t>in 2012</w:t>
      </w:r>
      <w:r>
        <w:rPr>
          <w:rStyle w:val="style16"/>
        </w:rPr>
        <w:footnoteReference w:id="2"/>
      </w:r>
      <w:r>
        <w:rPr/>
        <w:t xml:space="preserve">. These </w:t>
      </w:r>
      <w:r>
        <w:rPr/>
        <w:t xml:space="preserve">sources </w:t>
      </w:r>
      <w:r>
        <w:rPr/>
        <w:t xml:space="preserve">are mostly simple </w:t>
      </w:r>
      <w:r>
        <w:rPr/>
        <w:t xml:space="preserve">websites </w:t>
      </w:r>
      <w:r>
        <w:rPr/>
        <w:t xml:space="preserve">with limited data </w:t>
      </w:r>
      <w:r>
        <w:rPr/>
        <w:t xml:space="preserve">format </w:t>
      </w:r>
      <w:r>
        <w:rPr/>
        <w:t xml:space="preserve">compatibility between them </w:t>
      </w:r>
      <w:r>
        <w:rPr/>
        <w:t>even though</w:t>
      </w:r>
      <w:r>
        <w:rPr/>
        <w:t xml:space="preserve"> researchers often need to combine </w:t>
      </w:r>
      <w:r>
        <w:rPr/>
        <w:t xml:space="preserve">data from </w:t>
      </w:r>
      <w:r>
        <w:rPr/>
        <w:t>multiple sites to generate bioinformatics analyses.</w:t>
      </w:r>
      <w:r>
        <w:rPr/>
        <w:t xml:space="preserve"> </w:t>
      </w:r>
      <w:r>
        <w:rPr/>
        <w:t>W</w:t>
      </w:r>
      <w:r>
        <w:rPr/>
        <w:t xml:space="preserve">orkflow-based tools </w:t>
      </w:r>
      <w:r>
        <w:rPr/>
        <w:t>solve this problem by generating large and complex systems from collections of programs, data sources and structured data services</w:t>
      </w:r>
      <w:r>
        <w:rPr>
          <w:rStyle w:val="style16"/>
        </w:rPr>
        <w:footnoteReference w:id="3"/>
      </w:r>
      <w:r>
        <w:rPr/>
        <w:t xml:space="preserve">. </w:t>
      </w:r>
      <w:r>
        <w:rPr/>
        <w:t>As the $1,000 genome approaches</w:t>
      </w:r>
      <w:r>
        <w:rPr>
          <w:rStyle w:val="style16"/>
        </w:rPr>
        <w:footnoteReference w:id="4"/>
      </w:r>
      <w:r>
        <w:rPr/>
        <w:t xml:space="preserve">, </w:t>
      </w:r>
      <w:r>
        <w:rPr/>
        <w:t xml:space="preserve">genomic data volumes will increase and the bottleneck will shift to </w:t>
      </w:r>
      <w:r>
        <w:rPr/>
        <w:t>data</w:t>
      </w:r>
      <w:r>
        <w:rPr/>
        <w:t xml:space="preserve"> </w:t>
      </w:r>
      <w:r>
        <w:rPr/>
        <w:t>integration, e.g.,</w:t>
      </w:r>
      <w:r>
        <w:rPr/>
        <w:t xml:space="preserve"> clinical </w:t>
      </w:r>
      <w:r>
        <w:rPr/>
        <w:t>with</w:t>
      </w:r>
      <w:r>
        <w:rPr/>
        <w:t xml:space="preserve"> genomic, and </w:t>
      </w:r>
      <w:r>
        <w:rPr/>
        <w:t>responding to the question: H</w:t>
      </w:r>
      <w:r>
        <w:rPr/>
        <w:t xml:space="preserve">ow can we understand this data? Agua helps address this problem by providing a user-centric </w:t>
      </w:r>
      <w:r>
        <w:rPr/>
        <w:t>open-source platform</w:t>
      </w:r>
      <w:r>
        <w:rPr/>
        <w:t xml:space="preserve"> </w:t>
      </w:r>
      <w:r>
        <w:rPr/>
        <w:t xml:space="preserve">that </w:t>
      </w:r>
      <w:r>
        <w:rPr/>
        <w:t xml:space="preserve">facilitates sharing of workflows </w:t>
      </w:r>
      <w:r>
        <w:rPr/>
        <w:t>and interpretation of results</w:t>
      </w:r>
      <w:r>
        <w:rPr/>
        <w:t>.</w:t>
      </w:r>
    </w:p>
    <w:p>
      <w:pPr>
        <w:pStyle w:val="style0"/>
      </w:pPr>
      <w:r>
        <w:rPr/>
      </w:r>
    </w:p>
    <w:p>
      <w:pPr>
        <w:pStyle w:val="style27"/>
      </w:pP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The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availability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of common tools to enable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the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comparison of results from different data sets</w:t>
      </w:r>
      <w:r>
        <w:rPr>
          <w:rStyle w:val="style16"/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footnoteReference w:id="5"/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paradoxically underscores the difficulty faced by scientists without programming experience. S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oftware libraries such as Bioperl, Biopython and Bioconductor,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and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bioinformatics toolkits such as EMBOSS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are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valuable contributions in terms of content and approach.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T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he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y do not provide a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more general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ized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solution to allow scientists with little or no informatics skills to run well-defined workflows or generate novel workflows with new computational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tools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.</w:t>
      </w:r>
    </w:p>
    <w:p>
      <w:pPr>
        <w:pStyle w:val="style27"/>
      </w:pPr>
      <w:r>
        <w:rPr>
          <w:rFonts w:ascii="Georgia;Times New Roman;serif" w:hAnsi="Georgia;Times New Roman;serif"/>
          <w:b/>
          <w:bCs/>
          <w:i w:val="false"/>
          <w:caps w:val="false"/>
          <w:smallCaps w:val="false"/>
          <w:color w:val="000000"/>
          <w:spacing w:val="0"/>
          <w:sz w:val="23"/>
        </w:rPr>
        <w:t>Workflow Standards</w:t>
      </w:r>
    </w:p>
    <w:p>
      <w:pPr>
        <w:pStyle w:val="style27"/>
      </w:pP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BioExtract</w:t>
      </w:r>
      <w:r>
        <w:rPr>
          <w:rStyle w:val="style16"/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footnoteReference w:id="6"/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,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KNIME</w:t>
      </w:r>
      <w:r>
        <w:rPr>
          <w:rStyle w:val="style16"/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footnoteReference w:id="7"/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,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Galaxy</w:t>
      </w:r>
      <w:r>
        <w:rPr>
          <w:rStyle w:val="style16"/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footnoteReference w:id="8"/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, GenePattern</w:t>
      </w:r>
      <w:r>
        <w:rPr>
          <w:rStyle w:val="style16"/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footnoteReference w:id="9"/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, GeneProf, Mobyle</w:t>
      </w:r>
      <w:r>
        <w:rPr>
          <w:rStyle w:val="style16"/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footnoteReference w:id="10"/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,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and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Pegasus</w:t>
      </w:r>
      <w:r>
        <w:rPr>
          <w:rStyle w:val="style16"/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footnoteReference w:id="11"/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are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a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mong the most n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ot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eworthy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attempts to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provide a generalized solution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for automated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bioinformatics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workflows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.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They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are standalone or web applications that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provide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interactive tools for scientists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to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execute workflows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using predefined tools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and view their results in real-time.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Galaxy and BioExtract also allow the user to save workflows and share data by providing web access to application-specific data objects.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T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hese data object formats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are not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widely adopted nor are they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interchangeable with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workflow data from other applications.</w:t>
      </w:r>
    </w:p>
    <w:p>
      <w:pPr>
        <w:pStyle w:val="style27"/>
      </w:pP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It is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also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important to note that t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he need for 'industry standard' workflows may have been overestimated.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Genome s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cientists appear to be resisting the imposition of canonical data analysis methods. For example, the 1000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G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enomes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P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roject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is a multinational effort to map genetic variation in major population groups around the world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and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is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arguably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the most celebrated large-scale NGS project to date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. The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p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roject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provides well-documented procedures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for data analysis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. However, only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ten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out of 299 papers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published in 2011 that explicitly cite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the project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actually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used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the tools recommended by the consortium for mapping and variant discovery</w:t>
      </w:r>
      <w:r>
        <w:rPr>
          <w:rStyle w:val="style16"/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footnoteReference w:id="12"/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.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This suggests a more pressing need for establishing standards for reporting workflows than for establishing standard workflows.</w:t>
      </w:r>
    </w:p>
    <w:p>
      <w:pPr>
        <w:pStyle w:val="style0"/>
      </w:pP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Agua proposes a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standardized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workflow description format based on JSON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and leveraging the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Git version control system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to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provide workflow provenance.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Using Agua,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scientists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can develop a workflow from scratch to finish while generating a series of snapshots of the workflow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in the form of a JSON-format workflow file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.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These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workflow creation steps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are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synchroniz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ed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to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a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repository on Github, BitBucket or a similar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Git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repository service provider. Th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is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version history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can be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stored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as desired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to a private repository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or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published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to a public repository which can be referenced in a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scientific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paper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.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This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simplifies the process of sharing and reusing workflows,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maximizes transparency and allows scientists to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easily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evaluate and reproduce each other's research.</w:t>
      </w:r>
    </w:p>
    <w:p>
      <w:pPr>
        <w:pStyle w:val="style27"/>
      </w:pP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style27"/>
      </w:pP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As a further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response to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the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tendency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among scientists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towards a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heterogeneity of computational approaches, Agua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provides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a smooth,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user-centric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interface that enables scientists to easily add new applications and use these applications to create workflows and share their own custom workflows.</w:t>
      </w:r>
    </w:p>
    <w:p>
      <w:pPr>
        <w:pStyle w:val="style27"/>
      </w:pPr>
      <w:r>
        <w:rPr>
          <w:rFonts w:ascii="Georgia;Times New Roman;serif" w:hAnsi="Georgia;Times New Roman;serif"/>
          <w:b/>
          <w:bCs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style27"/>
      </w:pPr>
      <w:r>
        <w:rPr>
          <w:rFonts w:ascii="Georgia;Times New Roman;serif" w:hAnsi="Georgia;Times New Roman;serif"/>
          <w:b/>
          <w:bCs/>
          <w:i w:val="false"/>
          <w:caps w:val="false"/>
          <w:smallCaps w:val="false"/>
          <w:color w:val="000000"/>
          <w:spacing w:val="0"/>
          <w:sz w:val="23"/>
        </w:rPr>
        <w:t>The</w:t>
      </w:r>
      <w:r>
        <w:rPr>
          <w:rFonts w:ascii="Georgia;Times New Roman;serif" w:hAnsi="Georgia;Times New Roman;serif"/>
          <w:b/>
          <w:bCs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Georgia;Times New Roman;serif" w:hAnsi="Georgia;Times New Roman;serif"/>
          <w:b/>
          <w:bCs/>
          <w:i w:val="false"/>
          <w:caps w:val="false"/>
          <w:smallCaps w:val="false"/>
          <w:color w:val="000000"/>
          <w:spacing w:val="0"/>
          <w:sz w:val="23"/>
        </w:rPr>
        <w:t>U</w:t>
      </w:r>
      <w:r>
        <w:rPr>
          <w:rFonts w:ascii="Georgia;Times New Roman;serif" w:hAnsi="Georgia;Times New Roman;serif"/>
          <w:b/>
          <w:bCs/>
          <w:i w:val="false"/>
          <w:caps w:val="false"/>
          <w:smallCaps w:val="false"/>
          <w:color w:val="000000"/>
          <w:spacing w:val="0"/>
          <w:sz w:val="23"/>
        </w:rPr>
        <w:t>ser-</w:t>
      </w:r>
      <w:r>
        <w:rPr>
          <w:rFonts w:ascii="Georgia;Times New Roman;serif" w:hAnsi="Georgia;Times New Roman;serif"/>
          <w:b/>
          <w:bCs/>
          <w:i w:val="false"/>
          <w:caps w:val="false"/>
          <w:smallCaps w:val="false"/>
          <w:color w:val="000000"/>
          <w:spacing w:val="0"/>
          <w:sz w:val="23"/>
        </w:rPr>
        <w:t>C</w:t>
      </w:r>
      <w:r>
        <w:rPr>
          <w:rFonts w:ascii="Georgia;Times New Roman;serif" w:hAnsi="Georgia;Times New Roman;serif"/>
          <w:b/>
          <w:bCs/>
          <w:i w:val="false"/>
          <w:caps w:val="false"/>
          <w:smallCaps w:val="false"/>
          <w:color w:val="000000"/>
          <w:spacing w:val="0"/>
          <w:sz w:val="23"/>
        </w:rPr>
        <w:t xml:space="preserve">entric </w:t>
      </w:r>
      <w:r>
        <w:rPr>
          <w:rFonts w:ascii="Georgia;Times New Roman;serif" w:hAnsi="Georgia;Times New Roman;serif"/>
          <w:b/>
          <w:bCs/>
          <w:i w:val="false"/>
          <w:caps w:val="false"/>
          <w:smallCaps w:val="false"/>
          <w:color w:val="000000"/>
          <w:spacing w:val="0"/>
          <w:sz w:val="23"/>
        </w:rPr>
        <w:t>E</w:t>
      </w:r>
      <w:r>
        <w:rPr>
          <w:rFonts w:ascii="Georgia;Times New Roman;serif" w:hAnsi="Georgia;Times New Roman;serif"/>
          <w:b/>
          <w:bCs/>
          <w:i w:val="false"/>
          <w:caps w:val="false"/>
          <w:smallCaps w:val="false"/>
          <w:color w:val="000000"/>
          <w:spacing w:val="0"/>
          <w:sz w:val="23"/>
        </w:rPr>
        <w:t>xperience</w:t>
      </w:r>
    </w:p>
    <w:p>
      <w:pPr>
        <w:pStyle w:val="style27"/>
      </w:pP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P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revious workflow GUIs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had drawbacks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such as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difficulty navigating and searching,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having to navigate back and forth between forms and results,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user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difficulty keeping track of past actions, insufficient documentation of application options and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ambiguities concerning data storage</w:t>
      </w:r>
      <w:r>
        <w:rPr>
          <w:rStyle w:val="style16"/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footnoteReference w:id="13"/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.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Agua is designed to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minimize these drawbacks and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maximize 'traction' in the user experience by providing a high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ly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intuitive and transparent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interface.</w:t>
      </w:r>
    </w:p>
    <w:p>
      <w:pPr>
        <w:pStyle w:val="style27"/>
      </w:pP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Agua's design focuses on empowering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the domain-specific view of scientists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rather than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enforcing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canonical workflows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or optimizing job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scheduling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.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This paradigm focuses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on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allowing the scientist easy access to import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the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data types, tools and distributed resources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that are most suitable for their particular research domain.</w:t>
      </w:r>
    </w:p>
    <w:p>
      <w:pPr>
        <w:pStyle w:val="style27"/>
      </w:pP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style27"/>
      </w:pP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0000FF"/>
        </w:rPr>
        <w:t>List of abbreviations used (if any)</w:t>
      </w:r>
    </w:p>
    <w:p>
      <w:pPr>
        <w:pStyle w:val="style0"/>
      </w:pP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style0"/>
      </w:pP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GUI: Graphical User Interface;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JSON: Javascript Object Notation; </w:t>
      </w:r>
      <w:r>
        <w:rPr>
          <w:rFonts w:ascii="Georgia;Times New Roman;serif" w:hAnsi="Georgia;Times New Roman;serif"/>
          <w:b w:val="false"/>
          <w:i w:val="false"/>
          <w:caps w:val="false"/>
          <w:smallCaps w:val="false"/>
          <w:color w:val="000000"/>
          <w:spacing w:val="0"/>
          <w:sz w:val="23"/>
        </w:rPr>
        <w:t>NGS: next-generation sequencing.</w:t>
      </w:r>
    </w:p>
    <w:p>
      <w:pPr>
        <w:pStyle w:val="style0"/>
      </w:pPr>
      <w:r>
        <w:rPr>
          <w:color w:val="0000FF"/>
        </w:rPr>
      </w:r>
    </w:p>
    <w:p>
      <w:pPr>
        <w:pStyle w:val="style0"/>
      </w:pPr>
      <w:r>
        <w:rPr>
          <w:color w:val="0000FF"/>
        </w:rPr>
        <w:t>Authors' contributions</w:t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>
          <w:color w:val="000000"/>
        </w:rPr>
        <w:t>SY and JG designed the approach, acquired the data, interpreted the results and wrote the manuscript. SY implemented the Agua framework and maintains its website, repository and cloud presence.</w:t>
      </w:r>
    </w:p>
    <w:p>
      <w:pPr>
        <w:pStyle w:val="style0"/>
      </w:pPr>
      <w:r>
        <w:rPr>
          <w:color w:val="0000FF"/>
        </w:rPr>
      </w:r>
    </w:p>
    <w:p>
      <w:pPr>
        <w:pStyle w:val="style0"/>
      </w:pPr>
      <w:r>
        <w:rPr>
          <w:color w:val="0000FF"/>
        </w:rPr>
        <w:t>Authors' information</w:t>
      </w:r>
    </w:p>
    <w:p>
      <w:pPr>
        <w:pStyle w:val="style0"/>
      </w:pPr>
      <w:r>
        <w:rPr>
          <w:color w:val="0000FF"/>
        </w:rPr>
        <w:t>Acknowledgements</w:t>
      </w:r>
    </w:p>
    <w:p>
      <w:pPr>
        <w:pStyle w:val="style0"/>
      </w:pPr>
      <w:r>
        <w:rPr>
          <w:color w:val="0000FF"/>
        </w:rPr>
        <w:t>References</w:t>
      </w:r>
    </w:p>
    <w:p>
      <w:pPr>
        <w:pStyle w:val="style0"/>
      </w:pPr>
      <w:r>
        <w:rPr>
          <w:color w:val="0000FF"/>
        </w:rPr>
      </w:r>
    </w:p>
    <w:p>
      <w:pPr>
        <w:pStyle w:val="style0"/>
      </w:pPr>
      <w:r>
        <w:rPr/>
      </w:r>
    </w:p>
    <w:p>
      <w:pPr>
        <w:sectPr>
          <w:footnotePr>
            <w:numFmt w:val="decimal"/>
          </w:footnotePr>
          <w:type w:val="nextPage"/>
          <w:pgSz w:h="15840" w:w="12240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p>
      <w:pPr>
        <w:pStyle w:val="style32"/>
      </w:pPr>
      <w:r>
        <w:rPr/>
        <w:t>“</w:t>
      </w:r>
      <w:r>
        <w:rPr/>
        <w:t>AJAX Command Definition (ACD Files).” European Molecular Biology Laboratory (European Bioinformatics Institute). Accessed August 5, 2013. http://emboss.sourceforge.net/developers/acd/.</w:t>
      </w:r>
    </w:p>
    <w:p>
      <w:pPr>
        <w:pStyle w:val="style32"/>
      </w:pPr>
      <w:r>
        <w:rPr/>
        <w:t xml:space="preserve">Berthold, Michael R., Nicolas Cebron, Fabian Dill, Thomas R. Gabriel, Tobias Kötter, Thorsten Meinl, Peter Ohl, Christoph Sieb, Kilian Thiel, and Bernd Wiswedel. “KNIME: The Konstanz Information Miner.” In </w:t>
      </w:r>
      <w:r>
        <w:rPr>
          <w:i/>
        </w:rPr>
        <w:t>Data Analysis, Machine Learning and Applications</w:t>
      </w:r>
      <w:r>
        <w:rPr>
          <w:i w:val="false"/>
        </w:rPr>
        <w:t xml:space="preserve">, edited by Christine Preisach, Professor Dr Hans Burkhardt, Professor Dr Lars Schmidt-Thieme, and Professor Dr Reinhold Decker, 319–326. Studies in Classification, Data Analysis, and Knowledge Organization. Springer Berlin Heidelberg, 2008. </w:t>
      </w:r>
      <w:r>
        <w:rPr>
          <w:i w:val="false"/>
        </w:rPr>
        <w:t>http://link.springer.com/chapter/10.1007/978-3-540-78246-9_38.</w:t>
      </w:r>
    </w:p>
    <w:p>
      <w:pPr>
        <w:pStyle w:val="style32"/>
      </w:pPr>
      <w:r>
        <w:rPr>
          <w:i w:val="false"/>
        </w:rPr>
        <w:t xml:space="preserve">Bolchini, Davide, Anthony Finkelstein, Vito Perrone, and Sylvia Nagl. “Better Bioinformatics through Usability Analysis.” </w:t>
      </w:r>
      <w:r>
        <w:rPr>
          <w:i/>
        </w:rPr>
        <w:t>Bioinformatics</w:t>
      </w:r>
      <w:r>
        <w:rPr>
          <w:i w:val="false"/>
        </w:rPr>
        <w:t xml:space="preserve"> 25, no. 3 (February 1, 2009): 406–412. doi:10.1093/bioinformatics/btn633.</w:t>
      </w:r>
    </w:p>
    <w:p>
      <w:pPr>
        <w:pStyle w:val="style32"/>
      </w:pPr>
      <w:r>
        <w:rPr>
          <w:i w:val="false"/>
        </w:rPr>
        <w:t xml:space="preserve">Deelman, Ewa, James Blythe, Yolanda Gil, and Carl Kesselman. </w:t>
      </w:r>
      <w:r>
        <w:rPr>
          <w:i/>
        </w:rPr>
        <w:t>Pegasus: Planning for Execution in Grids</w:t>
      </w:r>
      <w:r>
        <w:rPr>
          <w:i w:val="false"/>
        </w:rPr>
        <w:t>, 2002.</w:t>
      </w:r>
    </w:p>
    <w:p>
      <w:pPr>
        <w:pStyle w:val="style32"/>
      </w:pPr>
      <w:r>
        <w:rPr>
          <w:i w:val="false"/>
        </w:rPr>
        <w:t>“</w:t>
      </w:r>
      <w:r>
        <w:rPr>
          <w:i w:val="false"/>
        </w:rPr>
        <w:t>FASTSTATS - Deaths and Mortality.” Accessed August 5, 2013. http://www.cdc.gov/nchs/fastats/deaths.htm.</w:t>
      </w:r>
    </w:p>
    <w:p>
      <w:pPr>
        <w:pStyle w:val="style32"/>
      </w:pPr>
      <w:r>
        <w:rPr>
          <w:i w:val="false"/>
        </w:rPr>
        <w:t xml:space="preserve">Galperin, Michael Y., and Xose M. Fernandez-Suarez. “The 2012 Nucleic Acids Research Database Issue and the Online Molecular Biology Database Collection.” </w:t>
      </w:r>
      <w:r>
        <w:rPr>
          <w:i/>
        </w:rPr>
        <w:t>Nucleic Acids Research</w:t>
      </w:r>
      <w:r>
        <w:rPr>
          <w:i w:val="false"/>
        </w:rPr>
        <w:t xml:space="preserve"> 40, no. D1 (January 2012): D1–D8. doi:10.1093/nar/gkr1196.</w:t>
      </w:r>
    </w:p>
    <w:p>
      <w:pPr>
        <w:pStyle w:val="style32"/>
      </w:pPr>
      <w:r>
        <w:rPr>
          <w:i w:val="false"/>
        </w:rPr>
        <w:t xml:space="preserve">Goecks, Jeremy, Anton Nekrutenko, and James Taylor. “Galaxy: a Comprehensive Approach for Supporting Accessible, Reproducible, and Transparent Computational Research in the Life Sciences.” </w:t>
      </w:r>
      <w:r>
        <w:rPr>
          <w:i/>
        </w:rPr>
        <w:t>Genome Biology</w:t>
      </w:r>
      <w:r>
        <w:rPr>
          <w:i w:val="false"/>
        </w:rPr>
        <w:t xml:space="preserve"> 11, no. 8 (2010): R86. doi:10.1186/gb-2010-11-8-r86.</w:t>
      </w:r>
    </w:p>
    <w:p>
      <w:pPr>
        <w:pStyle w:val="style32"/>
      </w:pPr>
      <w:r>
        <w:rPr>
          <w:i w:val="false"/>
        </w:rPr>
        <w:t xml:space="preserve">Huang, Yunda, and Raphael Gottardo. “Comparability and Reproducibility of Biomedical Data.” </w:t>
      </w:r>
      <w:r>
        <w:rPr>
          <w:i/>
        </w:rPr>
        <w:t>Briefings in Bioinformatics</w:t>
      </w:r>
      <w:r>
        <w:rPr>
          <w:i w:val="false"/>
        </w:rPr>
        <w:t xml:space="preserve"> 14, no. 4 (July 1, 2013): 391–401. doi:10.1093/bib/bbs078.</w:t>
      </w:r>
    </w:p>
    <w:p>
      <w:pPr>
        <w:pStyle w:val="style32"/>
      </w:pPr>
      <w:r>
        <w:rPr>
          <w:i w:val="false"/>
        </w:rPr>
        <w:t xml:space="preserve">Kedes, Larry, and Grant Campany. “The New Date, New Format, New Goals and New Sponsor of the Archon Genomics X PRIZE Competition.” </w:t>
      </w:r>
      <w:r>
        <w:rPr>
          <w:i/>
        </w:rPr>
        <w:t>Nature Genetics</w:t>
      </w:r>
      <w:r>
        <w:rPr>
          <w:i w:val="false"/>
        </w:rPr>
        <w:t xml:space="preserve"> 43, no. 11 (November 2011): 1055–1058. doi:10.1038/ng.988.</w:t>
      </w:r>
    </w:p>
    <w:p>
      <w:pPr>
        <w:pStyle w:val="style32"/>
      </w:pPr>
      <w:r>
        <w:rPr>
          <w:i w:val="false"/>
        </w:rPr>
        <w:t xml:space="preserve">Lushbough, Carol, Michael K. Bergman, Carolyn J. Lawrence, Doug Jennewein, and Volker Brendel. “BioExtract Server&amp;#x2014;An Integrated Workflow-Enabling System to Access and Analyze Heterogeneous, Distributed Biomolecular Data.” </w:t>
      </w:r>
      <w:r>
        <w:rPr>
          <w:i/>
        </w:rPr>
        <w:t>IEEE/ACM Transactions on Computational Biology and Bioinformatics</w:t>
      </w:r>
      <w:r>
        <w:rPr>
          <w:i w:val="false"/>
        </w:rPr>
        <w:t xml:space="preserve"> 7, no. 1 (2010): 12–24. doi:10.1109/TCBB.2008.98.</w:t>
      </w:r>
    </w:p>
    <w:p>
      <w:pPr>
        <w:pStyle w:val="style32"/>
      </w:pPr>
      <w:r>
        <w:rPr>
          <w:i w:val="false"/>
        </w:rPr>
        <w:t xml:space="preserve">Mesirov, Jill P. “Accessible Reproducible Research.” </w:t>
      </w:r>
      <w:r>
        <w:rPr>
          <w:i/>
        </w:rPr>
        <w:t>Science</w:t>
      </w:r>
      <w:r>
        <w:rPr>
          <w:i w:val="false"/>
        </w:rPr>
        <w:t xml:space="preserve"> 327, no. 5964 (January 22, 2010): 415–416. doi:10.1126/science.1179653.</w:t>
      </w:r>
    </w:p>
    <w:p>
      <w:pPr>
        <w:pStyle w:val="style32"/>
      </w:pPr>
      <w:r>
        <w:rPr>
          <w:i w:val="false"/>
        </w:rPr>
        <w:t xml:space="preserve">Nekrutenko, Anton, and James Taylor. “Next-generation Sequencing Data Interpretation: Enhancing Reproducibility and Accessibility.” </w:t>
      </w:r>
      <w:r>
        <w:rPr>
          <w:i/>
        </w:rPr>
        <w:t>Nature Reviews Genetics</w:t>
      </w:r>
      <w:r>
        <w:rPr>
          <w:i w:val="false"/>
        </w:rPr>
        <w:t xml:space="preserve"> 13, no. 9 (September 2012): 667–672. doi:10.1038/nrg3305.</w:t>
      </w:r>
    </w:p>
    <w:p>
      <w:pPr>
        <w:pStyle w:val="style32"/>
      </w:pPr>
      <w:r>
        <w:rPr>
          <w:i w:val="false"/>
        </w:rPr>
        <w:t xml:space="preserve">Néron, Bertrand, Hervé Ménager, Corinne Maufrais, Nicolas Joly, Julien Maupetit, Sébastien Letort, Sébastien Carrere, Pierre Tuffery, and Catherine Letondal. “Mobyle: a New Full Web Bioinformatics Framework.” </w:t>
      </w:r>
      <w:r>
        <w:rPr>
          <w:i/>
        </w:rPr>
        <w:t>Bioinformatics</w:t>
      </w:r>
      <w:r>
        <w:rPr>
          <w:i w:val="false"/>
        </w:rPr>
        <w:t xml:space="preserve"> 25, no. 22 (November 15, 2009): 3005–3011. doi:10.1093/bioinformatics/btp493.</w:t>
      </w:r>
    </w:p>
    <w:p>
      <w:pPr>
        <w:pStyle w:val="style32"/>
      </w:pPr>
      <w:r>
        <w:rPr>
          <w:i w:val="false"/>
        </w:rPr>
        <w:t xml:space="preserve">Reich, Michael, Ted Liefeld, Joshua Gould, Jim Lerner, Pablo Tamayo, and Jill P. Mesirov. “GenePattern 2.0.” </w:t>
      </w:r>
      <w:r>
        <w:rPr>
          <w:i/>
        </w:rPr>
        <w:t>Nature Genetics</w:t>
      </w:r>
      <w:r>
        <w:rPr>
          <w:i w:val="false"/>
        </w:rPr>
        <w:t xml:space="preserve"> 38, no. 5 (May 2006): 500–501. doi:10.1038/ng0506-500.</w:t>
      </w:r>
    </w:p>
    <w:p>
      <w:pPr>
        <w:pStyle w:val="style32"/>
      </w:pPr>
      <w:r>
        <w:rPr>
          <w:i w:val="false"/>
        </w:rPr>
        <w:t xml:space="preserve">Taylor, James, Ian Schenck, Dan Blankenberg, and Anton Nekrutenko. “Using Galaxy to Perform Large-Scale Interactive Data Analyses.” In </w:t>
      </w:r>
      <w:r>
        <w:rPr>
          <w:i/>
        </w:rPr>
        <w:t>Current Protocols in Bioinformatics</w:t>
      </w:r>
      <w:r>
        <w:rPr>
          <w:i w:val="false"/>
        </w:rPr>
        <w:t>. John Wiley &amp; Sons, Inc., 2002. http://onlinelibrary.wiley.com/doi/10.1002/0471250953.bi1005s19/abstract.</w:t>
      </w:r>
    </w:p>
    <w:p>
      <w:pPr>
        <w:sectPr>
          <w:footnotePr>
            <w:numFmt w:val="decimal"/>
          </w:footnote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0"/>
      </w:pPr>
      <w:r>
        <w:rPr>
          <w:color w:val="0000FF"/>
        </w:rPr>
      </w:r>
    </w:p>
    <w:p>
      <w:pPr>
        <w:pStyle w:val="style0"/>
      </w:pPr>
      <w:r>
        <w:rPr>
          <w:color w:val="0000FF"/>
        </w:rPr>
        <w:t>Illustrations and figures (if any)</w:t>
      </w:r>
    </w:p>
    <w:p>
      <w:pPr>
        <w:pStyle w:val="style0"/>
      </w:pPr>
      <w:r>
        <w:rPr>
          <w:color w:val="0000FF"/>
        </w:rPr>
      </w:r>
    </w:p>
    <w:p>
      <w:pPr>
        <w:pStyle w:val="style0"/>
      </w:pPr>
      <w:r>
        <w:rPr>
          <w:color w:val="0000FF"/>
        </w:rPr>
      </w:r>
    </w:p>
    <w:p>
      <w:pPr>
        <w:pStyle w:val="style0"/>
      </w:pPr>
      <w:r>
        <w:rPr>
          <w:color w:val="0000FF"/>
        </w:rPr>
      </w:r>
    </w:p>
    <w:p>
      <w:pPr>
        <w:pStyle w:val="style0"/>
      </w:pPr>
      <w:r>
        <w:rPr>
          <w:color w:val="0000FF"/>
        </w:rPr>
        <w:t>Tables and captions (if any)</w:t>
      </w:r>
    </w:p>
    <w:p>
      <w:pPr>
        <w:pStyle w:val="style0"/>
      </w:pPr>
      <w:r>
        <w:rPr>
          <w:color w:val="0000FF"/>
        </w:rPr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-720090</wp:posOffset>
            </wp:positionH>
            <wp:positionV relativeFrom="paragraph">
              <wp:posOffset>0</wp:posOffset>
            </wp:positionV>
            <wp:extent cx="7772400" cy="379412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79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 xml:space="preserve">Figure 1. </w:t>
      </w:r>
      <w:r>
        <w:rPr/>
        <w:t>Genomic viewer and bioinformatics workflow tools - functionality coverage</w:t>
      </w:r>
    </w:p>
    <w:sectPr>
      <w:footnotePr>
        <w:numFmt w:val="decimal"/>
      </w:footnotePr>
      <w:type w:val="continuous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Arial">
    <w:charset w:val="80"/>
    <w:family w:val="swiss"/>
    <w:pitch w:val="variable"/>
  </w:font>
  <w:font w:name="Georgia">
    <w:altName w:val="Times New Roman"/>
    <w:charset w:val="80"/>
    <w:family w:val="auto"/>
    <w:pitch w:val="default"/>
  </w:font>
</w:fonts>
</file>

<file path=word/footnotes.xml><?xml version="1.0" encoding="utf-8"?>
<w:footnotes xmlns:r="http://schemas.openxmlformats.org/officeDocument/2006/relationships" xmlns:w="http://schemas.openxmlformats.org/wordprocessingml/2006/main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31"/>
      </w:pPr>
      <w:r>
        <w:rPr>
          <w:b w:val="false"/>
          <w:i w:val="false"/>
          <w:caps w:val="false"/>
          <w:smallCaps w:val="false"/>
          <w:position w:val="0"/>
          <w:sz w:val="20"/>
          <w:u w:val="none"/>
          <w:vertAlign w:val="baseline"/>
        </w:rPr>
        <w:footnoteRef/>
        <w:tab/>
        <w:t>Galperin and Fernandez-Suarez, “The 2012 Nucleic Acids Research Database Issue and the Online Molecular Biology Database Collection.”</w:t>
      </w:r>
    </w:p>
  </w:footnote>
  <w:footnote w:id="3">
    <w:p>
      <w:pPr>
        <w:pStyle w:val="style31"/>
      </w:pPr>
      <w:r>
        <w:rPr>
          <w:b w:val="false"/>
          <w:i w:val="false"/>
          <w:caps w:val="false"/>
          <w:smallCaps w:val="false"/>
          <w:position w:val="0"/>
          <w:sz w:val="20"/>
          <w:u w:val="none"/>
          <w:vertAlign w:val="baseline"/>
        </w:rPr>
        <w:footnoteRef/>
        <w:tab/>
        <w:t>Bolchini et al., “Better Bioinformatics through Usability Analysis.”</w:t>
      </w:r>
    </w:p>
  </w:footnote>
  <w:footnote w:id="4">
    <w:p>
      <w:pPr>
        <w:pStyle w:val="style31"/>
      </w:pPr>
      <w:r>
        <w:rPr>
          <w:b w:val="false"/>
          <w:i w:val="false"/>
          <w:caps w:val="false"/>
          <w:smallCaps w:val="false"/>
          <w:position w:val="0"/>
          <w:sz w:val="20"/>
          <w:u w:val="none"/>
          <w:vertAlign w:val="baseline"/>
        </w:rPr>
        <w:footnoteRef/>
        <w:tab/>
        <w:t>Kedes and Campany, “The New Date, New Format, New Goals and New Sponsor of the Archon Genomics X PRIZE Competition.”</w:t>
      </w:r>
    </w:p>
  </w:footnote>
  <w:footnote w:id="5">
    <w:p>
      <w:pPr>
        <w:pStyle w:val="style31"/>
      </w:pPr>
      <w:r>
        <w:rPr>
          <w:b w:val="false"/>
          <w:i w:val="false"/>
          <w:caps w:val="false"/>
          <w:smallCaps w:val="false"/>
          <w:position w:val="0"/>
          <w:sz w:val="20"/>
          <w:u w:val="none"/>
          <w:vertAlign w:val="baseline"/>
        </w:rPr>
        <w:footnoteRef/>
        <w:tab/>
        <w:t>Mesirov, “Accessible Reproducible Research”; Goecks, Nekrutenko, and Taylor, “Galaxy”; Huang and Gottardo, “Comparability and Reproducibility of Biomedical Data.”</w:t>
      </w:r>
    </w:p>
  </w:footnote>
  <w:footnote w:id="6">
    <w:p>
      <w:pPr>
        <w:pStyle w:val="style31"/>
      </w:pPr>
      <w:r>
        <w:rPr>
          <w:b w:val="false"/>
          <w:i w:val="false"/>
          <w:caps w:val="false"/>
          <w:smallCaps w:val="false"/>
          <w:position w:val="0"/>
          <w:sz w:val="20"/>
          <w:u w:val="none"/>
          <w:vertAlign w:val="baseline"/>
        </w:rPr>
        <w:footnoteRef/>
        <w:tab/>
        <w:t>Lushbough et al., “BioExtract Server&amp;#x2014;An Integrated Workflow-Enabling System to Access and Analyze Heterogeneous, Distributed Biomolecular Data.”</w:t>
      </w:r>
    </w:p>
  </w:footnote>
  <w:footnote w:id="7">
    <w:p>
      <w:pPr>
        <w:pStyle w:val="style31"/>
      </w:pPr>
      <w:r>
        <w:rPr>
          <w:b w:val="false"/>
          <w:i w:val="false"/>
          <w:caps w:val="false"/>
          <w:smallCaps w:val="false"/>
          <w:position w:val="0"/>
          <w:sz w:val="20"/>
          <w:u w:val="none"/>
          <w:vertAlign w:val="baseline"/>
        </w:rPr>
        <w:footnoteRef/>
        <w:tab/>
        <w:t>Berthold et al., “KNIME.”</w:t>
      </w:r>
    </w:p>
  </w:footnote>
  <w:footnote w:id="8">
    <w:p>
      <w:pPr>
        <w:pStyle w:val="style31"/>
      </w:pPr>
      <w:r>
        <w:rPr>
          <w:b w:val="false"/>
          <w:i w:val="false"/>
          <w:caps w:val="false"/>
          <w:smallCaps w:val="false"/>
          <w:position w:val="0"/>
          <w:sz w:val="20"/>
          <w:u w:val="none"/>
          <w:vertAlign w:val="baseline"/>
        </w:rPr>
        <w:footnoteRef/>
        <w:tab/>
        <w:t>Taylor et al., “Using Galaxy to Perform Large-Scale Interactive Data Analyses.”</w:t>
      </w:r>
    </w:p>
  </w:footnote>
  <w:footnote w:id="9">
    <w:p>
      <w:pPr>
        <w:pStyle w:val="style31"/>
      </w:pPr>
      <w:r>
        <w:rPr>
          <w:b w:val="false"/>
          <w:i w:val="false"/>
          <w:caps w:val="false"/>
          <w:smallCaps w:val="false"/>
          <w:position w:val="0"/>
          <w:sz w:val="20"/>
          <w:u w:val="none"/>
          <w:vertAlign w:val="baseline"/>
        </w:rPr>
        <w:footnoteRef/>
        <w:tab/>
        <w:t>Reich et al., “GenePattern 2.0.”</w:t>
      </w:r>
    </w:p>
  </w:footnote>
  <w:footnote w:id="10">
    <w:p>
      <w:pPr>
        <w:pStyle w:val="style31"/>
      </w:pPr>
      <w:r>
        <w:rPr>
          <w:b w:val="false"/>
          <w:i w:val="false"/>
          <w:caps w:val="false"/>
          <w:smallCaps w:val="false"/>
          <w:position w:val="0"/>
          <w:sz w:val="20"/>
          <w:u w:val="none"/>
          <w:vertAlign w:val="baseline"/>
        </w:rPr>
        <w:footnoteRef/>
        <w:tab/>
        <w:t>Néron et al., “Mobyle.”</w:t>
      </w:r>
    </w:p>
  </w:footnote>
  <w:footnote w:id="11">
    <w:p>
      <w:pPr>
        <w:pStyle w:val="style31"/>
      </w:pPr>
      <w:r>
        <w:rPr>
          <w:b w:val="false"/>
          <w:caps w:val="false"/>
          <w:smallCaps w:val="false"/>
          <w:position w:val="0"/>
          <w:sz w:val="20"/>
          <w:u w:val="none"/>
          <w:vertAlign w:val="baseline"/>
        </w:rPr>
        <w:footnoteRef/>
        <w:tab/>
        <w:t xml:space="preserve">Deelman et al., </w:t>
      </w:r>
      <w:r>
        <w:rPr>
          <w:b w:val="false"/>
          <w:i/>
          <w:caps w:val="false"/>
          <w:smallCaps w:val="false"/>
          <w:position w:val="0"/>
          <w:sz w:val="20"/>
          <w:u w:val="none"/>
          <w:vertAlign w:val="baseline"/>
        </w:rPr>
        <w:t>Pegasus</w:t>
      </w:r>
      <w:r>
        <w:rPr>
          <w:b w:val="false"/>
          <w:i w:val="false"/>
          <w:caps w:val="false"/>
          <w:smallCaps w:val="false"/>
          <w:position w:val="0"/>
          <w:sz w:val="20"/>
          <w:u w:val="none"/>
          <w:vertAlign w:val="baseline"/>
        </w:rPr>
        <w:t>.</w:t>
      </w:r>
    </w:p>
  </w:footnote>
  <w:footnote w:id="12">
    <w:p>
      <w:pPr>
        <w:pStyle w:val="style31"/>
      </w:pPr>
      <w:r>
        <w:rPr>
          <w:b w:val="false"/>
          <w:i w:val="false"/>
          <w:caps w:val="false"/>
          <w:smallCaps w:val="false"/>
          <w:position w:val="0"/>
          <w:sz w:val="20"/>
          <w:u w:val="none"/>
          <w:vertAlign w:val="baseline"/>
        </w:rPr>
        <w:footnoteRef/>
        <w:tab/>
        <w:t>Nekrutenko and Taylor, “Next-generation Sequencing Data Interpretation.”</w:t>
      </w:r>
    </w:p>
  </w:footnote>
  <w:footnote w:id="13">
    <w:p>
      <w:pPr>
        <w:pStyle w:val="style31"/>
      </w:pPr>
      <w:r>
        <w:rPr>
          <w:b w:val="false"/>
          <w:i w:val="false"/>
          <w:caps w:val="false"/>
          <w:smallCaps w:val="false"/>
          <w:position w:val="0"/>
          <w:sz w:val="20"/>
          <w:u w:val="none"/>
          <w:vertAlign w:val="baseline"/>
        </w:rPr>
        <w:footnoteRef/>
        <w:tab/>
        <w:t>Néron et al., “Mobyle”; Bolchini et al., “Better Bioinformatics through Usability Analysis.”</w:t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2" w:type="paragraph">
    <w:name w:val="Heading 2"/>
    <w:basedOn w:val="style26"/>
    <w:next w:val="style27"/>
    <w:pPr/>
    <w:rPr>
      <w:rFonts w:ascii="Times New Roman" w:cs="Lohit Hindi" w:eastAsia="DejaVu Sans" w:hAnsi="Times New Roman"/>
      <w:b/>
      <w:bCs/>
      <w:sz w:val="36"/>
      <w:szCs w:val="36"/>
    </w:rPr>
  </w:style>
  <w:style w:styleId="style3" w:type="paragraph">
    <w:name w:val="Heading 3"/>
    <w:basedOn w:val="style26"/>
    <w:next w:val="style27"/>
    <w:pPr/>
    <w:rPr>
      <w:rFonts w:ascii="Times New Roman" w:cs="Lohit Hindi" w:eastAsia="DejaVu Sans" w:hAnsi="Times New Roman"/>
      <w:b/>
      <w:bCs/>
      <w:sz w:val="28"/>
      <w:szCs w:val="28"/>
    </w:rPr>
  </w:style>
  <w:style w:styleId="style15" w:type="character">
    <w:name w:val="Footnote Characters"/>
    <w:next w:val="style15"/>
    <w:rPr/>
  </w:style>
  <w:style w:styleId="style16" w:type="character">
    <w:name w:val="Footnote Anchor"/>
    <w:next w:val="style16"/>
    <w:rPr>
      <w:vertAlign w:val="superscript"/>
    </w:rPr>
  </w:style>
  <w:style w:styleId="style17" w:type="character">
    <w:name w:val="Endnote Anchor"/>
    <w:next w:val="style17"/>
    <w:rPr>
      <w:vertAlign w:val="superscript"/>
    </w:rPr>
  </w:style>
  <w:style w:styleId="style18" w:type="character">
    <w:name w:val="Endnote Characters"/>
    <w:next w:val="style18"/>
    <w:rPr/>
  </w:style>
  <w:style w:styleId="style19" w:type="character">
    <w:name w:val="Bullets"/>
    <w:next w:val="style19"/>
    <w:rPr>
      <w:rFonts w:ascii="OpenSymbol" w:cs="OpenSymbol" w:eastAsia="OpenSymbol" w:hAnsi="OpenSymbol"/>
    </w:rPr>
  </w:style>
  <w:style w:styleId="style20" w:type="character">
    <w:name w:val="Internet Link"/>
    <w:next w:val="style20"/>
    <w:rPr>
      <w:color w:val="000080"/>
      <w:u w:val="single"/>
      <w:lang w:bidi="zxx-" w:eastAsia="zxx-" w:val="zxx-"/>
    </w:rPr>
  </w:style>
  <w:style w:styleId="style21" w:type="character">
    <w:name w:val="Strong Emphasis"/>
    <w:next w:val="style21"/>
    <w:rPr>
      <w:b/>
      <w:bCs/>
    </w:rPr>
  </w:style>
  <w:style w:styleId="style22" w:type="character">
    <w:name w:val="Default Paragraph Font"/>
    <w:next w:val="style22"/>
    <w:rPr/>
  </w:style>
  <w:style w:styleId="style23" w:type="character">
    <w:name w:val="apple-style-span"/>
    <w:basedOn w:val="style22"/>
    <w:next w:val="style23"/>
    <w:rPr/>
  </w:style>
  <w:style w:styleId="style24" w:type="character">
    <w:name w:val="normal__char"/>
    <w:basedOn w:val="style22"/>
    <w:next w:val="style24"/>
    <w:rPr/>
  </w:style>
  <w:style w:styleId="style25" w:type="character">
    <w:name w:val="Emphasis"/>
    <w:next w:val="style25"/>
    <w:rPr>
      <w:i/>
      <w:iCs/>
    </w:rPr>
  </w:style>
  <w:style w:styleId="style26" w:type="paragraph">
    <w:name w:val="Heading"/>
    <w:basedOn w:val="style0"/>
    <w:next w:val="style2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7" w:type="paragraph">
    <w:name w:val="Text Body"/>
    <w:basedOn w:val="style0"/>
    <w:next w:val="style27"/>
    <w:pPr>
      <w:spacing w:after="120" w:before="0"/>
      <w:contextualSpacing w:val="false"/>
    </w:pPr>
    <w:rPr/>
  </w:style>
  <w:style w:styleId="style28" w:type="paragraph">
    <w:name w:val="List"/>
    <w:basedOn w:val="style27"/>
    <w:next w:val="style28"/>
    <w:pPr/>
    <w:rPr>
      <w:rFonts w:cs="Lohit Hindi"/>
    </w:rPr>
  </w:style>
  <w:style w:styleId="style29" w:type="paragraph">
    <w:name w:val="Caption"/>
    <w:basedOn w:val="style0"/>
    <w:next w:val="style2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0" w:type="paragraph">
    <w:name w:val="Index"/>
    <w:basedOn w:val="style0"/>
    <w:next w:val="style30"/>
    <w:pPr>
      <w:suppressLineNumbers/>
    </w:pPr>
    <w:rPr>
      <w:rFonts w:cs="Lohit Hindi"/>
    </w:rPr>
  </w:style>
  <w:style w:styleId="style31" w:type="paragraph">
    <w:name w:val="Footnote"/>
    <w:basedOn w:val="style0"/>
    <w:next w:val="style31"/>
    <w:pPr>
      <w:suppressLineNumbers/>
      <w:ind w:hanging="339" w:left="339" w:right="0"/>
    </w:pPr>
    <w:rPr>
      <w:sz w:val="20"/>
      <w:szCs w:val="20"/>
    </w:rPr>
  </w:style>
  <w:style w:styleId="style32" w:type="paragraph">
    <w:name w:val="Bibliography 1"/>
    <w:basedOn w:val="style30"/>
    <w:next w:val="style32"/>
    <w:pPr>
      <w:spacing w:after="0" w:before="0" w:line="240" w:lineRule="atLeast"/>
      <w:ind w:hanging="720" w:left="720" w:right="0"/>
      <w:contextualSpacing w:val="false"/>
    </w:pPr>
    <w:rPr/>
  </w:style>
  <w:style w:styleId="style33" w:type="paragraph">
    <w:name w:val="regulartext"/>
    <w:basedOn w:val="style0"/>
    <w:next w:val="style33"/>
    <w:pPr>
      <w:spacing w:after="100" w:before="100"/>
      <w:contextualSpacing w:val="false"/>
    </w:pPr>
    <w:rPr>
      <w:rFonts w:eastAsia="Times New Roman"/>
      <w:sz w:val="24"/>
      <w:szCs w:val="24"/>
    </w:rPr>
  </w:style>
  <w:style w:styleId="style34" w:type="paragraph">
    <w:name w:val="Normal (Web)"/>
    <w:basedOn w:val="style0"/>
    <w:next w:val="style34"/>
    <w:pPr>
      <w:spacing w:after="100" w:before="100"/>
      <w:contextualSpacing w:val="false"/>
    </w:pPr>
    <w:rPr>
      <w:rFonts w:eastAsia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guadev.org/" TargetMode="External"/><Relationship Id="rId3" Type="http://schemas.openxmlformats.org/officeDocument/2006/relationships/image" Target="media/image8.emf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75356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2013-08-03T14:15:57.00Z</dcterms:created>
  <dc:creator>syoung </dc:creator>
  <cp:lastModifiedBy>syoung </cp:lastModifiedBy>
  <dcterms:modified xsi:type="dcterms:W3CDTF">2013-08-05T09:12:32.00Z</dcterms:modified>
  <cp:revision>129</cp:revision>
</cp:coreProperties>
</file>