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РЕФЕРАТ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uppressLineNumbers w:val="false"/>
        <w:pBdr/>
        <w:spacing w:after="200" w:before="0" w:line="283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танция техобслуживания: Разработка системы управления станцией технического обслуживания / К.А. Шуньков студента. – Новополоцк: Полоцкий государственный университет имени Евфросинии Полоцкой, 2025. – П.З. – 42 с.,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рис., 1 табл., 7 источников, 4 приложен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ия, графический материал –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л. Формата А4.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8"/>
        <w:suppressLineNumbers w:val="false"/>
        <w:pBdr/>
        <w:spacing w:after="200" w:before="0" w:line="283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Руководитель курсового проекта: И.Б. Бурачонок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к.т.н., доцент, доцент кафедры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математики и компьютерной безопасности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КЛЮЧЕВЫЕ СЛОВА: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Автоматизация СТО, Rust, Tauri, React, PostgreSQL, CRM-система, управление заказами, ролевая модель доступа.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Объект и цель: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Разработка программного комплекса для полной автоматизации бизнес-процессов станции технического обслуживания (СТО), включая управление клиентами, автопарком, складом и персоналом (5 ролей доступа).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Выполненные разработки: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Архитектура: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Реализовано настольное приложение на стеке Rust + Tauri (бэкенд) и React + TypeScript (фронтенд) с БД PostgreSQL.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Функционал: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Созданы модули аутентификации, управления заказ-нарядами (со сменой статусов), складского учета и справочников неисправностей.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Интеграция: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Подключен API (VIN-декодер) и система уведомлений.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Интерфейсы: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Разработаны уникальные АРМ для администратора, мастера-приемщика, диагноста, кладовщика и автомеханика.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Научная новизна и значимость: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Применение высокопроизводительного стека (Rust/Tauri) для создания легковесного и надежного десктопного приложения.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Реализация сквозного бизнес-процесса ремонта с жестким разграничением прав доступа и адаптивным интерфейсом под каждую роль.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Область применения: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СТО любого масштаба, дилерские центры, автотранспортные предприятия.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Студент подтверждает, что приведенный в курсовом проекте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/>
      <w:r>
        <w:rPr>
          <w:rFonts w:ascii="Times New Roman" w:hAnsi="Times New Roman" w:cs="Times New Roman"/>
          <w:sz w:val="28"/>
          <w:szCs w:val="28"/>
          <w:highlight w:val="none"/>
        </w:rPr>
        <w:t xml:space="preserve">расчетно-аналитический материал объективно отражает состояние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/>
      <w:r>
        <w:rPr>
          <w:rFonts w:ascii="Times New Roman" w:hAnsi="Times New Roman" w:cs="Times New Roman"/>
          <w:sz w:val="28"/>
          <w:szCs w:val="28"/>
          <w:highlight w:val="none"/>
        </w:rPr>
        <w:t xml:space="preserve">исследуемого процесса (разрабатываемого объекта), все заимствованные из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/>
      <w:r>
        <w:rPr>
          <w:rFonts w:ascii="Times New Roman" w:hAnsi="Times New Roman" w:cs="Times New Roman"/>
          <w:sz w:val="28"/>
          <w:szCs w:val="28"/>
          <w:highlight w:val="none"/>
        </w:rPr>
        <w:t xml:space="preserve">литературных и других источников теоретические и методологические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положения и концепции сопровождаются ссыпками на их авторов.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53AC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E1B69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4C3B5B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4CCF8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61E49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2025-12-12T08:37:27Z</dcterms:modified>
</cp:coreProperties>
</file>