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6"/>
        <w:gridCol w:w="5857"/>
        <w:gridCol w:w="1235"/>
        <w:gridCol w:w="1162"/>
        <w:gridCol w:w="1126"/>
      </w:tblGrid>
      <w:tr w:rsidR="00F16363" w:rsidRPr="00F16363" w:rsidTr="00F16363">
        <w:trPr>
          <w:trHeight w:val="600"/>
        </w:trPr>
        <w:tc>
          <w:tcPr>
            <w:tcW w:w="11046" w:type="dxa"/>
            <w:gridSpan w:val="5"/>
            <w:noWrap/>
            <w:hideMark/>
          </w:tcPr>
          <w:p w:rsidR="00F16363" w:rsidRPr="00F16363" w:rsidRDefault="00F16363" w:rsidP="00F16363">
            <w:pPr>
              <w:rPr>
                <w:b/>
                <w:bCs/>
              </w:rPr>
            </w:pPr>
            <w:r w:rsidRPr="00F16363">
              <w:rPr>
                <w:b/>
                <w:bCs/>
              </w:rPr>
              <w:t xml:space="preserve">Stakeholder </w:t>
            </w:r>
            <w:proofErr w:type="spellStart"/>
            <w:r w:rsidRPr="00F16363">
              <w:rPr>
                <w:b/>
                <w:bCs/>
              </w:rPr>
              <w:t>Map</w:t>
            </w:r>
            <w:proofErr w:type="spellEnd"/>
          </w:p>
        </w:tc>
      </w:tr>
      <w:tr w:rsidR="00F16363" w:rsidRPr="00F16363" w:rsidTr="00F16363">
        <w:trPr>
          <w:trHeight w:val="500"/>
        </w:trPr>
        <w:tc>
          <w:tcPr>
            <w:tcW w:w="1645" w:type="dxa"/>
            <w:hideMark/>
          </w:tcPr>
          <w:p w:rsidR="00F16363" w:rsidRPr="00F16363" w:rsidRDefault="00F16363" w:rsidP="00F16363">
            <w:pPr>
              <w:rPr>
                <w:b/>
                <w:bCs/>
              </w:rPr>
            </w:pPr>
            <w:r w:rsidRPr="00F16363">
              <w:rPr>
                <w:b/>
                <w:bCs/>
              </w:rPr>
              <w:t xml:space="preserve">Stakeholder </w:t>
            </w:r>
          </w:p>
        </w:tc>
        <w:tc>
          <w:tcPr>
            <w:tcW w:w="5871" w:type="dxa"/>
            <w:hideMark/>
          </w:tcPr>
          <w:p w:rsidR="00F16363" w:rsidRPr="00F16363" w:rsidRDefault="00F16363" w:rsidP="00F16363">
            <w:pPr>
              <w:rPr>
                <w:b/>
                <w:bCs/>
              </w:rPr>
            </w:pPr>
            <w:r w:rsidRPr="00F16363">
              <w:rPr>
                <w:b/>
                <w:bCs/>
              </w:rPr>
              <w:t xml:space="preserve">Key </w:t>
            </w:r>
            <w:proofErr w:type="spellStart"/>
            <w:r w:rsidRPr="00F16363">
              <w:rPr>
                <w:b/>
                <w:bCs/>
              </w:rPr>
              <w:t>Concerns</w:t>
            </w:r>
            <w:proofErr w:type="spellEnd"/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pPr>
              <w:rPr>
                <w:b/>
                <w:bCs/>
              </w:rPr>
            </w:pPr>
            <w:r w:rsidRPr="00F16363">
              <w:rPr>
                <w:b/>
                <w:bCs/>
              </w:rPr>
              <w:t xml:space="preserve">Class </w:t>
            </w:r>
          </w:p>
        </w:tc>
        <w:tc>
          <w:tcPr>
            <w:tcW w:w="1164" w:type="dxa"/>
            <w:noWrap/>
            <w:hideMark/>
          </w:tcPr>
          <w:p w:rsidR="00F16363" w:rsidRPr="00F16363" w:rsidRDefault="00F16363" w:rsidP="00F16363">
            <w:pPr>
              <w:rPr>
                <w:b/>
                <w:bCs/>
              </w:rPr>
            </w:pPr>
            <w:r w:rsidRPr="00F16363">
              <w:rPr>
                <w:b/>
                <w:bCs/>
              </w:rPr>
              <w:t xml:space="preserve">Power </w:t>
            </w:r>
          </w:p>
        </w:tc>
        <w:tc>
          <w:tcPr>
            <w:tcW w:w="1128" w:type="dxa"/>
            <w:noWrap/>
            <w:hideMark/>
          </w:tcPr>
          <w:p w:rsidR="00F16363" w:rsidRPr="00F16363" w:rsidRDefault="00F16363" w:rsidP="00F16363">
            <w:pPr>
              <w:rPr>
                <w:b/>
                <w:bCs/>
              </w:rPr>
            </w:pPr>
            <w:proofErr w:type="spellStart"/>
            <w:r w:rsidRPr="00F16363">
              <w:rPr>
                <w:b/>
                <w:bCs/>
              </w:rPr>
              <w:t>Level</w:t>
            </w:r>
            <w:proofErr w:type="spellEnd"/>
            <w:r w:rsidRPr="00F16363">
              <w:rPr>
                <w:b/>
                <w:bCs/>
              </w:rPr>
              <w:t xml:space="preserve"> of </w:t>
            </w:r>
            <w:proofErr w:type="spellStart"/>
            <w:r w:rsidRPr="00F16363">
              <w:rPr>
                <w:b/>
                <w:bCs/>
              </w:rPr>
              <w:t>Interest</w:t>
            </w:r>
            <w:proofErr w:type="spellEnd"/>
          </w:p>
        </w:tc>
      </w:tr>
      <w:tr w:rsidR="00F16363" w:rsidRPr="00F16363" w:rsidTr="00F16363">
        <w:trPr>
          <w:trHeight w:val="131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DG</w:t>
            </w:r>
          </w:p>
        </w:tc>
        <w:tc>
          <w:tcPr>
            <w:tcW w:w="5871" w:type="dxa"/>
            <w:hideMark/>
          </w:tcPr>
          <w:p w:rsidR="00F16363" w:rsidRPr="00F16363" w:rsidRDefault="00F16363" w:rsidP="00F16363">
            <w:proofErr w:type="spellStart"/>
            <w:r w:rsidRPr="00F16363">
              <w:t>Resposabilité</w:t>
            </w:r>
            <w:proofErr w:type="spellEnd"/>
            <w:r w:rsidRPr="00F16363">
              <w:t xml:space="preserve"> de la gestion administrative, des ressources humaines avec le pouvoir hiérarchique, de la gestion comptable et financière et la responsabilité sur les fonctions d'immatriculation, de recouvrement des cotisations et des prestations.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r w:rsidRPr="00F16363">
              <w:t xml:space="preserve">Key </w:t>
            </w:r>
            <w:proofErr w:type="spellStart"/>
            <w:r w:rsidRPr="00F16363">
              <w:t>Players</w:t>
            </w:r>
            <w:proofErr w:type="spellEnd"/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High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High</w:t>
            </w:r>
          </w:p>
        </w:tc>
      </w:tr>
      <w:tr w:rsidR="00F16363" w:rsidRPr="00F16363" w:rsidTr="00F16363">
        <w:trPr>
          <w:trHeight w:val="74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SG</w:t>
            </w:r>
          </w:p>
        </w:tc>
        <w:tc>
          <w:tcPr>
            <w:tcW w:w="5871" w:type="dxa"/>
            <w:hideMark/>
          </w:tcPr>
          <w:p w:rsidR="00F16363" w:rsidRPr="00F16363" w:rsidRDefault="00F16363" w:rsidP="00F16363">
            <w:r w:rsidRPr="00F16363">
              <w:t>Support pour le DG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proofErr w:type="spellStart"/>
            <w:r w:rsidRPr="00F16363">
              <w:t>Keep</w:t>
            </w:r>
            <w:proofErr w:type="spellEnd"/>
            <w:r w:rsidRPr="00F16363">
              <w:t xml:space="preserve"> </w:t>
            </w:r>
            <w:proofErr w:type="spellStart"/>
            <w:r w:rsidRPr="00F16363">
              <w:t>Satisfied</w:t>
            </w:r>
            <w:proofErr w:type="spellEnd"/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High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Medium</w:t>
            </w:r>
          </w:p>
        </w:tc>
      </w:tr>
      <w:tr w:rsidR="00F16363" w:rsidRPr="00F16363" w:rsidTr="00F16363">
        <w:trPr>
          <w:trHeight w:val="201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Sous-direction</w:t>
            </w:r>
            <w:r w:rsidRPr="00F16363">
              <w:t xml:space="preserve"> des Administration générale</w:t>
            </w:r>
          </w:p>
        </w:tc>
        <w:tc>
          <w:tcPr>
            <w:tcW w:w="5871" w:type="dxa"/>
            <w:noWrap/>
            <w:hideMark/>
          </w:tcPr>
          <w:p w:rsidR="00F16363" w:rsidRPr="00F16363" w:rsidRDefault="00F16363" w:rsidP="00F16363">
            <w:r w:rsidRPr="00F16363">
              <w:t>Participer à l'élaboration des procédures et les règlements régissant l'administration du personnel et des moyens.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proofErr w:type="spellStart"/>
            <w:r w:rsidRPr="00F16363">
              <w:t>Keep</w:t>
            </w:r>
            <w:proofErr w:type="spellEnd"/>
            <w:r w:rsidRPr="00F16363">
              <w:t xml:space="preserve"> </w:t>
            </w:r>
            <w:proofErr w:type="spellStart"/>
            <w:r w:rsidRPr="00F16363">
              <w:t>Satisfied</w:t>
            </w:r>
            <w:proofErr w:type="spellEnd"/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High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Medium</w:t>
            </w:r>
          </w:p>
        </w:tc>
      </w:tr>
      <w:tr w:rsidR="00F16363" w:rsidRPr="00F16363" w:rsidTr="00F16363">
        <w:trPr>
          <w:trHeight w:val="175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Sous-direction</w:t>
            </w:r>
            <w:r w:rsidRPr="00F16363">
              <w:t xml:space="preserve"> des Prestations</w:t>
            </w:r>
          </w:p>
        </w:tc>
        <w:tc>
          <w:tcPr>
            <w:tcW w:w="5871" w:type="dxa"/>
            <w:hideMark/>
          </w:tcPr>
          <w:p w:rsidR="00F16363" w:rsidRPr="00F16363" w:rsidRDefault="00F16363" w:rsidP="00F16363">
            <w:r w:rsidRPr="00F16363">
              <w:t>Gérer les décomptes payés par les agences CNAS, procéder à leur imputation aux comptes individuels des adhérents ;</w:t>
            </w:r>
            <w:r w:rsidRPr="00F16363">
              <w:br/>
              <w:t xml:space="preserve">Procéder au mandatement des décomptes reçus en remboursement aux agences </w:t>
            </w:r>
            <w:r w:rsidRPr="00F16363">
              <w:t>CNAS ;</w:t>
            </w:r>
            <w:r w:rsidRPr="00F16363">
              <w:br/>
              <w:t>Gérer les primes servies à l’occasion d’événement survenus aux adhérents ;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r w:rsidRPr="00F16363">
              <w:t xml:space="preserve">Key </w:t>
            </w:r>
            <w:proofErr w:type="spellStart"/>
            <w:r w:rsidRPr="00F16363">
              <w:t>Players</w:t>
            </w:r>
            <w:proofErr w:type="spellEnd"/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High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High</w:t>
            </w:r>
          </w:p>
        </w:tc>
      </w:tr>
      <w:tr w:rsidR="00F16363" w:rsidRPr="00F16363" w:rsidTr="00F16363">
        <w:trPr>
          <w:trHeight w:val="254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proofErr w:type="spellStart"/>
            <w:r w:rsidRPr="00F16363">
              <w:t>Sous direction</w:t>
            </w:r>
            <w:proofErr w:type="spellEnd"/>
            <w:r w:rsidRPr="00F16363">
              <w:t xml:space="preserve"> des Finances</w:t>
            </w:r>
          </w:p>
        </w:tc>
        <w:tc>
          <w:tcPr>
            <w:tcW w:w="5871" w:type="dxa"/>
            <w:hideMark/>
          </w:tcPr>
          <w:p w:rsidR="00F16363" w:rsidRPr="00F16363" w:rsidRDefault="00F16363" w:rsidP="00F16363">
            <w:r w:rsidRPr="00F16363">
              <w:t xml:space="preserve">Exécuter les recettes et les dépenses de la Mutuelle dans les conditions fixées par les </w:t>
            </w:r>
            <w:r w:rsidRPr="00F16363">
              <w:t>lois ;</w:t>
            </w:r>
            <w:r w:rsidRPr="00F16363">
              <w:br/>
              <w:t xml:space="preserve">Tenir la comptabilité du siège et de le cas échéant, la comptabilité des autres </w:t>
            </w:r>
            <w:r w:rsidRPr="00F16363">
              <w:t>structures ;</w:t>
            </w:r>
            <w:bookmarkStart w:id="0" w:name="_GoBack"/>
            <w:bookmarkEnd w:id="0"/>
            <w:r w:rsidRPr="00F16363">
              <w:br/>
              <w:t>Assurer l’immatriculation des adhérents et de les doter d’un numéro ;</w:t>
            </w:r>
            <w:r w:rsidRPr="00F16363">
              <w:br/>
              <w:t xml:space="preserve">Assurer le recouvrement, le contrôle et le contentieux du recouvrement des cotisations destinés au financement des prestations prévues 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proofErr w:type="spellStart"/>
            <w:r w:rsidRPr="00F16363">
              <w:t>Keep</w:t>
            </w:r>
            <w:proofErr w:type="spellEnd"/>
            <w:r w:rsidRPr="00F16363">
              <w:t xml:space="preserve"> </w:t>
            </w:r>
            <w:proofErr w:type="spellStart"/>
            <w:r w:rsidRPr="00F16363">
              <w:t>Satisfied</w:t>
            </w:r>
            <w:proofErr w:type="spellEnd"/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High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Medium</w:t>
            </w:r>
          </w:p>
        </w:tc>
      </w:tr>
      <w:tr w:rsidR="00F16363" w:rsidRPr="00F16363" w:rsidTr="00F16363">
        <w:trPr>
          <w:trHeight w:val="84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Comité de liaison de la mutuelle</w:t>
            </w:r>
          </w:p>
        </w:tc>
        <w:tc>
          <w:tcPr>
            <w:tcW w:w="5871" w:type="dxa"/>
            <w:noWrap/>
            <w:hideMark/>
          </w:tcPr>
          <w:p w:rsidR="00F16363" w:rsidRPr="00F16363" w:rsidRDefault="00F16363" w:rsidP="00F16363">
            <w:proofErr w:type="gramStart"/>
            <w:r w:rsidRPr="00F16363">
              <w:t>la</w:t>
            </w:r>
            <w:proofErr w:type="gramEnd"/>
            <w:r w:rsidRPr="00F16363">
              <w:t xml:space="preserve"> promotion de la concertation entre la Mutuelle et les représentants des travailleurs et des employeurs visant à développer l’adhésion à la Mutuelle et à faciliter la mise en </w:t>
            </w:r>
            <w:r w:rsidRPr="00F16363">
              <w:t>œuvre</w:t>
            </w:r>
            <w:r w:rsidRPr="00F16363">
              <w:t xml:space="preserve"> des dispositions prévues par la loi.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proofErr w:type="spellStart"/>
            <w:r w:rsidRPr="00F16363">
              <w:t>Keep</w:t>
            </w:r>
            <w:proofErr w:type="spellEnd"/>
            <w:r w:rsidRPr="00F16363">
              <w:t xml:space="preserve"> </w:t>
            </w:r>
            <w:proofErr w:type="spellStart"/>
            <w:r w:rsidRPr="00F16363">
              <w:t>Informed</w:t>
            </w:r>
            <w:proofErr w:type="spellEnd"/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Low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Medium</w:t>
            </w:r>
          </w:p>
        </w:tc>
      </w:tr>
      <w:tr w:rsidR="00F16363" w:rsidRPr="00F16363" w:rsidTr="00F16363">
        <w:trPr>
          <w:trHeight w:val="39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Comptabilité</w:t>
            </w:r>
          </w:p>
        </w:tc>
        <w:tc>
          <w:tcPr>
            <w:tcW w:w="5871" w:type="dxa"/>
            <w:noWrap/>
            <w:hideMark/>
          </w:tcPr>
          <w:p w:rsidR="00F16363" w:rsidRPr="00F16363" w:rsidRDefault="00F16363" w:rsidP="00F16363">
            <w:r w:rsidRPr="00F16363">
              <w:t> 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r w:rsidRPr="00F16363">
              <w:t>Minimal Effort</w:t>
            </w:r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Low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Low</w:t>
            </w:r>
          </w:p>
        </w:tc>
      </w:tr>
      <w:tr w:rsidR="00F16363" w:rsidRPr="00F16363" w:rsidTr="00F16363">
        <w:trPr>
          <w:trHeight w:val="37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Paie</w:t>
            </w:r>
          </w:p>
        </w:tc>
        <w:tc>
          <w:tcPr>
            <w:tcW w:w="5871" w:type="dxa"/>
            <w:noWrap/>
            <w:hideMark/>
          </w:tcPr>
          <w:p w:rsidR="00F16363" w:rsidRPr="00F16363" w:rsidRDefault="00F16363" w:rsidP="00F16363">
            <w:r w:rsidRPr="00F16363">
              <w:t> 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r w:rsidRPr="00F16363">
              <w:t>Minimal Effort</w:t>
            </w:r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Low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Low</w:t>
            </w:r>
          </w:p>
        </w:tc>
      </w:tr>
      <w:tr w:rsidR="00F16363" w:rsidRPr="00F16363" w:rsidTr="00F16363">
        <w:trPr>
          <w:trHeight w:val="25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Assuré</w:t>
            </w:r>
          </w:p>
        </w:tc>
        <w:tc>
          <w:tcPr>
            <w:tcW w:w="5871" w:type="dxa"/>
            <w:hideMark/>
          </w:tcPr>
          <w:p w:rsidR="00F16363" w:rsidRPr="00F16363" w:rsidRDefault="00F16363" w:rsidP="00F16363">
            <w:r w:rsidRPr="00F16363">
              <w:t>Utilisateur générique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r w:rsidRPr="00F16363">
              <w:t>Minimal Effort</w:t>
            </w:r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Low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Low</w:t>
            </w:r>
          </w:p>
        </w:tc>
      </w:tr>
      <w:tr w:rsidR="00F16363" w:rsidRPr="00F16363" w:rsidTr="00F16363">
        <w:trPr>
          <w:trHeight w:val="25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Délégués des organisations (clients)</w:t>
            </w:r>
          </w:p>
        </w:tc>
        <w:tc>
          <w:tcPr>
            <w:tcW w:w="5871" w:type="dxa"/>
            <w:hideMark/>
          </w:tcPr>
          <w:p w:rsidR="00F16363" w:rsidRPr="00F16363" w:rsidRDefault="00F16363" w:rsidP="00F16363">
            <w:r w:rsidRPr="00F16363">
              <w:t>Utilisateur générique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r w:rsidRPr="00F16363">
              <w:t>Minimal Effort</w:t>
            </w:r>
          </w:p>
        </w:tc>
        <w:tc>
          <w:tcPr>
            <w:tcW w:w="1164" w:type="dxa"/>
            <w:hideMark/>
          </w:tcPr>
          <w:p w:rsidR="00F16363" w:rsidRPr="00F16363" w:rsidRDefault="00F16363" w:rsidP="00F16363">
            <w:r w:rsidRPr="00F16363">
              <w:t>Low</w:t>
            </w:r>
          </w:p>
        </w:tc>
        <w:tc>
          <w:tcPr>
            <w:tcW w:w="1128" w:type="dxa"/>
            <w:hideMark/>
          </w:tcPr>
          <w:p w:rsidR="00F16363" w:rsidRPr="00F16363" w:rsidRDefault="00F16363" w:rsidP="00F16363">
            <w:r w:rsidRPr="00F16363">
              <w:t>Low</w:t>
            </w:r>
          </w:p>
        </w:tc>
      </w:tr>
      <w:tr w:rsidR="00F16363" w:rsidRPr="00F16363" w:rsidTr="00F16363">
        <w:trPr>
          <w:trHeight w:val="25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lastRenderedPageBreak/>
              <w:t>Patrimoine</w:t>
            </w:r>
          </w:p>
        </w:tc>
        <w:tc>
          <w:tcPr>
            <w:tcW w:w="5871" w:type="dxa"/>
            <w:noWrap/>
            <w:hideMark/>
          </w:tcPr>
          <w:p w:rsidR="00F16363" w:rsidRPr="00F16363" w:rsidRDefault="00F16363" w:rsidP="00F16363">
            <w:r w:rsidRPr="00F16363">
              <w:t>Gérer les biens de la mutuelle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r w:rsidRPr="00F16363">
              <w:t>Minimal Effort</w:t>
            </w:r>
          </w:p>
        </w:tc>
        <w:tc>
          <w:tcPr>
            <w:tcW w:w="1164" w:type="dxa"/>
            <w:noWrap/>
            <w:hideMark/>
          </w:tcPr>
          <w:p w:rsidR="00F16363" w:rsidRPr="00F16363" w:rsidRDefault="00F16363" w:rsidP="00F16363">
            <w:r w:rsidRPr="00F16363">
              <w:t>Low</w:t>
            </w:r>
          </w:p>
        </w:tc>
        <w:tc>
          <w:tcPr>
            <w:tcW w:w="1128" w:type="dxa"/>
            <w:noWrap/>
            <w:hideMark/>
          </w:tcPr>
          <w:p w:rsidR="00F16363" w:rsidRPr="00F16363" w:rsidRDefault="00F16363" w:rsidP="00F16363">
            <w:r w:rsidRPr="00F16363">
              <w:t>Low</w:t>
            </w:r>
          </w:p>
        </w:tc>
      </w:tr>
      <w:tr w:rsidR="00F16363" w:rsidRPr="00F16363" w:rsidTr="00F16363">
        <w:trPr>
          <w:trHeight w:val="250"/>
        </w:trPr>
        <w:tc>
          <w:tcPr>
            <w:tcW w:w="1645" w:type="dxa"/>
            <w:noWrap/>
            <w:hideMark/>
          </w:tcPr>
          <w:p w:rsidR="00F16363" w:rsidRPr="00F16363" w:rsidRDefault="00F16363" w:rsidP="00F16363">
            <w:r w:rsidRPr="00F16363">
              <w:t>Informaticiens</w:t>
            </w:r>
          </w:p>
        </w:tc>
        <w:tc>
          <w:tcPr>
            <w:tcW w:w="5871" w:type="dxa"/>
            <w:noWrap/>
            <w:hideMark/>
          </w:tcPr>
          <w:p w:rsidR="00F16363" w:rsidRPr="00F16363" w:rsidRDefault="00F16363" w:rsidP="00F16363">
            <w:r w:rsidRPr="00F16363">
              <w:t>Veiller à la bonne utilisation des technologies et s'occuper de support informatique de la mutuelle</w:t>
            </w:r>
          </w:p>
        </w:tc>
        <w:tc>
          <w:tcPr>
            <w:tcW w:w="1238" w:type="dxa"/>
            <w:noWrap/>
            <w:hideMark/>
          </w:tcPr>
          <w:p w:rsidR="00F16363" w:rsidRPr="00F16363" w:rsidRDefault="00F16363" w:rsidP="00F16363">
            <w:proofErr w:type="spellStart"/>
            <w:r w:rsidRPr="00F16363">
              <w:t>Keep</w:t>
            </w:r>
            <w:proofErr w:type="spellEnd"/>
            <w:r w:rsidRPr="00F16363">
              <w:t xml:space="preserve"> </w:t>
            </w:r>
            <w:proofErr w:type="spellStart"/>
            <w:r w:rsidRPr="00F16363">
              <w:t>Informed</w:t>
            </w:r>
            <w:proofErr w:type="spellEnd"/>
          </w:p>
        </w:tc>
        <w:tc>
          <w:tcPr>
            <w:tcW w:w="1164" w:type="dxa"/>
            <w:noWrap/>
            <w:hideMark/>
          </w:tcPr>
          <w:p w:rsidR="00F16363" w:rsidRPr="00F16363" w:rsidRDefault="00F16363" w:rsidP="00F16363">
            <w:r w:rsidRPr="00F16363">
              <w:t>Medium</w:t>
            </w:r>
          </w:p>
        </w:tc>
        <w:tc>
          <w:tcPr>
            <w:tcW w:w="1128" w:type="dxa"/>
            <w:noWrap/>
            <w:hideMark/>
          </w:tcPr>
          <w:p w:rsidR="00F16363" w:rsidRPr="00F16363" w:rsidRDefault="00F16363" w:rsidP="00F16363">
            <w:r w:rsidRPr="00F16363">
              <w:t>High</w:t>
            </w:r>
          </w:p>
        </w:tc>
      </w:tr>
    </w:tbl>
    <w:p w:rsidR="009A3AE7" w:rsidRDefault="009A3AE7" w:rsidP="00F16363">
      <w:pPr>
        <w:ind w:left="-142"/>
      </w:pPr>
    </w:p>
    <w:sectPr w:rsidR="009A3AE7" w:rsidSect="00F16363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03AD"/>
    <w:multiLevelType w:val="multilevel"/>
    <w:tmpl w:val="6ACED1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63"/>
    <w:rsid w:val="009A3AE7"/>
    <w:rsid w:val="00D51710"/>
    <w:rsid w:val="00F1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908"/>
  <w15:chartTrackingRefBased/>
  <w15:docId w15:val="{0DC407C6-322A-45F1-8ECB-1263B199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1710"/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51710"/>
    <w:pPr>
      <w:keepNext/>
      <w:keepLines/>
      <w:numPr>
        <w:numId w:val="4"/>
      </w:numPr>
      <w:spacing w:before="240" w:after="120"/>
      <w:outlineLvl w:val="0"/>
    </w:pPr>
    <w:rPr>
      <w:rFonts w:eastAsiaTheme="majorEastAsia" w:cstheme="majorBidi"/>
      <w:color w:val="4472C4" w:themeColor="accen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710"/>
    <w:pPr>
      <w:keepNext/>
      <w:keepLines/>
      <w:numPr>
        <w:ilvl w:val="1"/>
        <w:numId w:val="1"/>
      </w:numPr>
      <w:spacing w:before="160" w:after="120"/>
      <w:ind w:left="1284"/>
      <w:outlineLvl w:val="1"/>
    </w:pPr>
    <w:rPr>
      <w:rFonts w:eastAsiaTheme="majorEastAsia" w:cstheme="majorBidi"/>
      <w:color w:val="4472C4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1710"/>
    <w:pPr>
      <w:keepNext/>
      <w:keepLines/>
      <w:numPr>
        <w:ilvl w:val="2"/>
        <w:numId w:val="4"/>
      </w:numPr>
      <w:spacing w:before="120" w:after="120"/>
      <w:outlineLvl w:val="2"/>
    </w:pPr>
    <w:rPr>
      <w:rFonts w:eastAsiaTheme="majorEastAsia" w:cstheme="majorBidi"/>
      <w:color w:val="4472C4" w:themeColor="accent1"/>
      <w:sz w:val="28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710"/>
    <w:rPr>
      <w:rFonts w:asciiTheme="majorBidi" w:eastAsiaTheme="majorEastAsia" w:hAnsiTheme="majorBidi" w:cstheme="majorBidi"/>
      <w:color w:val="4472C4" w:themeColor="accen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1710"/>
    <w:rPr>
      <w:rFonts w:asciiTheme="majorBidi" w:eastAsiaTheme="majorEastAsia" w:hAnsiTheme="majorBidi" w:cstheme="majorBidi"/>
      <w:color w:val="4472C4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51710"/>
    <w:rPr>
      <w:rFonts w:asciiTheme="majorBidi" w:eastAsiaTheme="majorEastAsia" w:hAnsiTheme="majorBidi" w:cstheme="majorBidi"/>
      <w:color w:val="4472C4" w:themeColor="accent1"/>
      <w:sz w:val="28"/>
      <w:szCs w:val="24"/>
    </w:rPr>
  </w:style>
  <w:style w:type="table" w:styleId="Grilledutableau">
    <w:name w:val="Table Grid"/>
    <w:basedOn w:val="TableauNormal"/>
    <w:uiPriority w:val="39"/>
    <w:rsid w:val="00F16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 RAMDANI</dc:creator>
  <cp:keywords/>
  <dc:description/>
  <cp:lastModifiedBy>Racha RAMDANI</cp:lastModifiedBy>
  <cp:revision>1</cp:revision>
  <dcterms:created xsi:type="dcterms:W3CDTF">2020-01-19T16:38:00Z</dcterms:created>
  <dcterms:modified xsi:type="dcterms:W3CDTF">2020-01-19T16:40:00Z</dcterms:modified>
</cp:coreProperties>
</file>