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PARTE III — PRÁCTICAS PROFESIONALES</w:t>
      </w:r>
    </w:p>
    <w:p>
      <w:pPr>
        <w:pStyle w:val="Heading2"/>
      </w:pPr>
      <w:r>
        <w:t>III.1 El ambiente de trabajo y la adaptación del becario</w:t>
      </w:r>
    </w:p>
    <w:p>
      <w:pPr>
        <w:jc w:val="both"/>
      </w:pPr>
      <w:r>
        <w:t>Más allá de las tareas concretas y de las competencias lingüísticas descritas en las partes anteriores, estas prácticas fueron también una experiencia de inmersión en una cultura de empresa particular. Flamenco Agency es una microempresa, y este tamaño reducido determinaba por completo el ambiente de trabajo y la manera en que los becarios nos integrábamos en él. No existía una jerarquía intermedia entre la dirección y los becarios: trabajábamos directamente bajo la responsabilidad del señor Trancoso y de la señora Stainow, en el mismo espacio de oficina y según un funcionamiento horizontal. Esta proximidad implicaba una confianza inmediata, pero también una exigencia de autonomía: en una estructura sin empleados intermedios, cada becario debía asumir rápidamente la responsabilidad de su propio trabajo.</w:t>
      </w:r>
    </w:p>
    <w:p>
      <w:pPr>
        <w:jc w:val="both"/>
      </w:pPr>
      <w:r>
        <w:t>Las dinámicas de la empresa se organizaban en torno a algunos rituales profesionales que, vistos desde dentro, estructuraban no solo el trabajo sino también las relaciones dentro del equipo. La reunión del lunes por la mañana no era únicamente un reparto de tareas: era el momento en que se construía la cultura del feedback. El señor Trancoso revisaba el trabajo de la semana anterior delante de todo el equipo, corregía, valoraba y reasignaba, de modo que cada becario aprendía tanto de sus propios aciertos y errores como de los de los demás. Este funcionamiento transparente, lejos de ser intimidante, creaba un clima de aprendizaje colectivo. De la misma manera, la disciplina del envío de los martes funcionaba como un punto de referencia temporal que daba ritmo a toda la semana: el trabajo se preparaba en función de esa fecha, lo que enseñaba una forma muy concreta de organización profesional orientada a objetivos. La comunicación informal a través del grupo de WhatsApp, donde se resolvían dudas rápidas, completaba estos rituales y reflejaba la flexibilidad propia de una empresa pequeña.</w:t>
      </w:r>
    </w:p>
    <w:p>
      <w:pPr>
        <w:jc w:val="both"/>
      </w:pPr>
      <w:r>
        <w:t>El ambiente entre los cuatro becarios era un elemento central de la experiencia. Compartíamos el mismo espacio, trabajábamos a menudo sobre los mismos archivos de prospección y nos coordinábamos de manera constante para evitar duplicaciones. Esta dimensión colaborativa, en un equipo multicultural formado por personas de tres países distintos, generó una dinámica de apoyo mutuo más que de competencia. Mi integración fue progresiva: más allá de la evolución de mi autonomía en las tareas, ya descrita en la Parte I, lo esencial en este plano fue asimilar los códigos informales de la empresa y encontrar mi lugar dentro de un equipo reducido.</w:t>
      </w:r>
    </w:p>
    <w:p>
      <w:pPr>
        <w:jc w:val="both"/>
      </w:pPr>
      <w:r>
        <w:t>A esta adaptación profesional se sumó una adaptación cultural al entorno andaluz. El ritmo de vida sevillano, con sus horarios particulares, el calor intenso del inicio del verano y una cierta manera de entender el tiempo y las relaciones, formaron parte de la experiencia cotidiana. Lejos de ser un obstáculo, esta inmersión reforzó mi capacidad de adaptación a un contexto cultural distinto del mío, una competencia que considero central en mi formación de LEA y en cualquier trayectoria profesional internacional.</w:t>
      </w:r>
    </w:p>
    <w:p>
      <w:pPr>
        <w:pStyle w:val="Heading2"/>
      </w:pPr>
      <w:r>
        <w:t>III.2 El contacto con los clientes y el ciclo comercial B2B</w:t>
      </w:r>
    </w:p>
    <w:p>
      <w:pPr>
        <w:jc w:val="both"/>
      </w:pPr>
      <w:r>
        <w:t>Uno de los aprendizajes más importantes de estas prácticas fue comprender en qué consiste exactamente el "cliente" de Flamenco Agency. A diferencia de un tablao o de una empresa de turismo cultural, la agencia no vende sus espectáculos al gran público. Su cliente no es el espectador, sino el profesional que decide la programación: el director artístico de un festival, el programador de un teatro de ópera, el responsable de una temporada cultural o, en el caso de los eventos corporativos, el organizador de un evento de empresa. Esta lógica business-to-business (B2B) cambia por completo la naturaleza de la relación comercial y constituye, a mi juicio, la clave de la estrategia que permite a la agencia posicionar el flamenco fuera del circuito turístico.</w:t>
      </w:r>
    </w:p>
    <w:p>
      <w:pPr>
        <w:jc w:val="both"/>
      </w:pPr>
      <w:r>
        <w:t>En el marketing B2B, la decisión de compra rara vez depende de una sola persona. Suele intervenir lo que la literatura del sector denomina un "centro de compra", es decir, un conjunto de actores con funciones distintas dentro de la institución cliente. Durante la prospección, aprendí a identificar a cuál de estos actores debía dirigirme, porque de ello dependía la eficacia del mensaje:</w:t>
      </w:r>
    </w:p>
    <w:p>
      <w:pPr>
        <w:pStyle w:val="ListBullet"/>
      </w:pPr>
      <w:r>
        <w:t>El iniciador, que detecta la necesidad de programar un espectáculo.</w:t>
      </w:r>
    </w:p>
    <w:p>
      <w:pPr>
        <w:pStyle w:val="ListBullet"/>
      </w:pPr>
      <w:r>
        <w:t>El influenciador, que orienta la decisión (por ejemplo, un asesor o un técnico).</w:t>
      </w:r>
    </w:p>
    <w:p>
      <w:pPr>
        <w:pStyle w:val="ListBullet"/>
      </w:pPr>
      <w:r>
        <w:t>El decisor, que aprueba finalmente la programación.</w:t>
      </w:r>
    </w:p>
    <w:p>
      <w:pPr>
        <w:pStyle w:val="ListBullet"/>
      </w:pPr>
      <w:r>
        <w:t>El comprador, que negocia las condiciones y formaliza el contrato.</w:t>
      </w:r>
    </w:p>
    <w:p>
      <w:pPr>
        <w:pStyle w:val="ListBullet"/>
      </w:pPr>
      <w:r>
        <w:t>El "gatekeeper" o filtro, que controla el acceso a las personas clave.</w:t>
      </w:r>
    </w:p>
    <w:p>
      <w:pPr>
        <w:jc w:val="both"/>
      </w:pPr>
      <w:r>
        <w:t>En los grandes teatros y casas de ópera, el interlocutor pertinente solía ser el director artístico o el coordinador de programación; en estructuras más pequeñas, podía ser directamente el director o el gerente. Identificar a la persona adecuada era determinante: un mensaje excelente dirigido a la persona equivocada no producía ningún resultado.</w:t>
      </w:r>
    </w:p>
    <w:p>
      <w:pPr>
        <w:jc w:val="both"/>
      </w:pPr>
      <w:r>
        <w:t>A esta particularidad se añade la naturaleza específica del producto vendido. Un espectáculo es un servicio, y como tal presenta características que lo distinguen de un bien material: es intangible —el cliente no puede "probarlo" antes de comprarlo—, es inseparable de quienes lo producen, es variable —su calidad depende de la compañía, del momento y del lugar— y es perecedero —una fecha no vendida no puede almacenarse para más tarde—. Estas características explican muchas de las decisiones de comunicación de la agencia: el uso sistemático de enlaces de vídeo para hacer "tangible" el espectáculo, la insistencia en las referencias de escenarios prestigiosos para compensar la imposibilidad de probar el producto, y la importancia de la confianza en una relación que se construye a largo plazo. Los datos de la campaña Sangre Gitana, que gestioné y cuyos resultados se detallan en la Parte I, confirman empíricamente esta lógica: el enlace más clicado por los destinatarios fue, con diferencia, el vídeo del espectáculo, muy por delante de cualquier otro recurso, lo que demuestra que el vídeo es la herramienta que mejor despierta el interés ante un producto que no puede experimentarse de antemano.</w:t>
      </w:r>
    </w:p>
    <w:p>
      <w:pPr>
        <w:jc w:val="both"/>
      </w:pPr>
      <w:r>
        <w:t>La manera en que la agencia explota su catálogo responde, además, a una lógica comercial precisa que pude observar directamente en mi trabajo de prospección. La oferta se divide en dos categorías. Por un lado, una estrategia de oferta activa (push): cinco producciones —Carmen, Luxuria, Romeo y Julieta, Flamenco Fusion y Dance for Me— se proponen sistemáticamente en las campañas de prospección, porque generan un margen comercial mayor para la agencia. Por otro lado, otras producciones, como Naturally Flamenco o los espectáculos de cantaores reconocidos, no se proponen de manera activa: figuran en el sitio web y son los propios directores artísticos quienes las descubren al consultar el catálogo en línea y contactan a la agencia (estrategia pull). Esta distinción entre push y pull refleja una visión comercial estructurada, orientada a la rentabilidad y a un uso eficiente del tiempo de los becarios, y resulta esencial para comprender el caso del Teatro Campoamor que se analizará más adelante.</w:t>
      </w:r>
    </w:p>
    <w:p>
      <w:pPr>
        <w:jc w:val="both"/>
      </w:pPr>
      <w:r>
        <w:t>La flexibilidad del producto es otro elemento central de esta estrategia. Carmen, el espectáculo más vendido y más propuesto en las giras internacionales, existe en varias versiones que la convierten en un producto especialmente adaptable: una versión estándar (1h45, 12 bailarines, 6 músicos, desde Málaga o Sevilla), una versión con orquesta y coro locales —en la que la compañía viaja sin músicos propios para reducir los costes logísticos— y una versión más íntima, Carmen by Mérimée (14 bailarines, 1 músico, desde Madrid). Durante mi trabajo de prospección, la elección de la versión que debía proponer dependía de tres factores combinados: el tamaño del escenario y del teatro, el presupuesto estimado del organizador y el estilo artístico del festival. Esta capacidad de modular una misma producción según las limitaciones del cliente ilustra cómo la agencia transforma la variabilidad propia del espectáculo en una ventaja comercial.</w:t>
      </w:r>
    </w:p>
    <w:p>
      <w:pPr>
        <w:jc w:val="both"/>
      </w:pPr>
      <w:r>
        <w:t>En efecto, el contacto con los clientes se desarrollaba casi exclusivamente a distancia, principalmente por correo electrónico y, en una fase más avanzada, por teléfono. Los clientes no acudían a la oficina y nosotros no nos desplazábamos a verlos: la oficina de Sevilla era un centro de prospección y de gestión, no un punto de venta presencial. El contacto cara a cara existía, pero ocurría en otro escenario —las ferias profesionales del sector—, que se analizará en el apartado siguiente. Esta organización del contacto comercial es muy característica del B2B internacional, donde la relación se mantiene sobre todo por vía digital y se consolida en encuentros puntuales muy concretos.</w:t>
      </w:r>
    </w:p>
    <w:p>
      <w:pPr>
        <w:jc w:val="both"/>
      </w:pPr>
      <w:r>
        <w:t>El ciclo de venta correspondiente a esta lógica es largo y exige paciencia. Según las informaciones que me transmitió el señor Trancoso, el tiempo medio entre el primer contacto y la firma de un contrato es de aproximadamente seis meses, aunque varía considerablemente según el caso: algunos teatros deciden con uno o dos años de antelación, mientras que en ocasiones excepcionales el plazo se reduce drásticamente —la República Checa, por ejemplo, llegó a contratar un espectáculo apenas un mes antes de la fecha—. Esta variabilidad obliga a la agencia a mantener una prospección constante y a gestionar simultáneamente contactos en fases muy distintas del ciclo.</w:t>
      </w:r>
    </w:p>
    <w:p>
      <w:pPr>
        <w:jc w:val="both"/>
      </w:pPr>
      <w:r>
        <w:t>El seguimiento de los contactos se adaptaba además al tipo de respuesta recibida, según una lógica que aprendí a aplicar de manera práctica: un contacto que no abría el correo requería revisar el asunto o reenviar el mensaje en otro momento; un contacto que lo abría pero no respondía recibía un seguimiento con argumentos adicionales; y un contacto interesado pasaba a una fase de negociación más personalizada. Esta gestión diferenciada ilustra una de las realidades más exigentes del sector: la tasa de respuesta positiva es muy baja —en torno al 1 % de los contactos prospectados—, lo que significa que el trabajo comercial se mide en el largo plazo y reposa en el volumen, la constancia y la calidad de la relación más que en resultados inmediatos.</w:t>
      </w:r>
    </w:p>
    <w:p>
      <w:pPr>
        <w:jc w:val="both"/>
      </w:pPr>
      <w:r>
        <w:t>Conviene situar estas cifras en la escala real de la actividad de la agencia. Flamenco Agency coloca aproximadamente una treintena de actuaciones al año, una cifra que engloba realidades muy diversas: espectáculos en festivales y teatros, pero también eventos corporativos e incluso bodas. Este número varía sensiblemente de un año a otro en función de la coyuntura económica global, que afecta directamente a los presupuestos culturales de los organizadores. Desde el punto de vista geográfico, los mercados más activos son, por orden de importancia, Europa, seguida de Asia y de América; estos dos últimos mercados se caracterizan, además, por presupuestos más elevados. Esta jerarquía de mercados confirma que la agencia opera plenamente en los circuitos profesionales internacionales del espectáculo, y no en el mercado turístico local del flamenco.</w:t>
      </w:r>
    </w:p>
    <w:p>
      <w:pPr>
        <w:pStyle w:val="Heading2"/>
      </w:pPr>
      <w:r>
        <w:t>III.3 La construcción de la legitimidad: ferias, redes y reputación</w:t>
      </w:r>
    </w:p>
    <w:p>
      <w:pPr>
        <w:jc w:val="both"/>
      </w:pPr>
      <w:r>
        <w:t>Si el contacto comercial cotidiano se desarrollaba a distancia, la construcción de la confianza —elemento decisivo en un sector basado en relaciones a largo plazo— se apoyaba en gran medida en la presencia física de la agencia en las grandes ferias profesionales del sector. Acontecimientos como WOMEX, Opera Europa, Classical:NEXT, CINARS, APAP o Tanzmesse reúnen a los programadores, directores artísticos y distribuidores del mundo entero. Según me explicó el señor Trancoso, es precisamente en estos encuentros donde se construye la proximidad con los clientes: el cara a cara permite transformar un contacto frío de correo electrónico en una relación profesional real, presentar el catálogo en persona y ganar la credibilidad que difícilmente se obtiene solo por vía digital. Las ferias funcionan así como el complemento indispensable de la prospección a distancia: lo que el correo inicia, el encuentro presencial lo consolida.</w:t>
      </w:r>
    </w:p>
    <w:p>
      <w:pPr>
        <w:jc w:val="both"/>
      </w:pPr>
      <w:r>
        <w:t>A esta presencia en las ferias se añade la pertenencia de la agencia a redes profesionales de referencia, como la ISPA (International Society for the Performing Arts), la EFA (European Festivals Association) o la AAPPAC (Association of Asia Pacific Performing Arts Centres). Formar parte de estas organizaciones no es un detalle menor: constituye una señal de credibilidad que indica a los programadores que Flamenco Agency es un actor serio y reconocido dentro del ecosistema internacional del espectáculo. En un sector donde la reputación se transmite por el boca a boca profesional, estas membresías funcionan como un sello de garantía.</w:t>
      </w:r>
    </w:p>
    <w:p>
      <w:pPr>
        <w:jc w:val="both"/>
      </w:pPr>
      <w:r>
        <w:t>La legitimidad de la oferta se apoya, finalmente, en el propio capital simbólico del flamenco como forma artística. A lo largo de mis prácticas comprendí que la agencia no parte de cero a la hora de convencer a un programador: el flamenco cuenta ya con grandes nombres reconocidos del arte —figuras como Paco de Lucía— y con toda una tradición de vanguardia que ha influido en numerosas corrientes artísticas contemporáneas. Este posicionamiento como arte de prestigio es especialmente sólido en el mercado francés, y tiene raíces históricas profundas. Ya en los años veinte y treinta, el bailaor Vicente Escudero triunfó en París y convirtió el flamenco en un arte respetado por la alta cultura y por las vanguardias intelectuales europeas. Tras su debut en el Teatro Olympia (1920) y su consagración junto a Antonia Mercé "La Argentina" en una histórica puesta en escena de El amor brujo de Manuel de Falla, Escudero demostró al público internacional que el flamenco poseía una verdadera dignidad teatral. Lejos de limitarse a los tablaos, se integró plenamente en los movimientos del cubismo, el dadaísmo y el surrealismo, y se relacionó con figuras como Picasso, Joan Miró, Jean Cocteau o André Breton; el fotógrafo Man Ray lo retrató en imágenes que hoy forman parte de la colección del Centre Pompidou. Esta herencia explica por qué, en países como Francia, el flamenco está asociado desde hace casi un siglo a la vanguardia artística y no a un simple espectáculo turístico. La agencia se apoya, por tanto, en un patrimonio ya legitimado para presentar sus producciones como una oferta artística seria.</w:t>
      </w:r>
    </w:p>
    <w:p>
      <w:pPr>
        <w:jc w:val="both"/>
      </w:pPr>
      <w:r>
        <w:t>Esta estrategia explica también cómo la agencia evita, en buena medida, el problema de la percepción folklórica. Aunque en algunos mercados el flamenco sigue asociándose a una imagen turística, Flamenco Agency se dirige prioritariamente a grandes teatros y festivales que ya conocen el flamenco y que disponen de criterios artísticos propios para valorarlo. Al seleccionar interlocutores informados, la agencia reduce el riesgo de que su oferta sea percibida como un mero producto de consumo turístico. La construcción de la legitimidad pasa, en cierto modo, por la elección cuidadosa del destinatario.</w:t>
      </w:r>
    </w:p>
    <w:p>
      <w:pPr>
        <w:jc w:val="both"/>
      </w:pPr>
      <w:r>
        <w:t>La importancia de las referencias de prestigio se hace evidente al observar la trayectoria de la agencia. Entre los escenarios de renombre con los que ha trabajado figura, por ejemplo, el Teatro Campoamor de Oviedo (Asturias), además de espacios internacionales como el Royal Opera House Muscat o el Emirates Palace Auditorium ya mencionados en partes anteriores. El caso del Campoamor resulta especialmente significativo, porque fue el propio teatro quien contactó a la agencia, y no a la inversa. Este tipo de contacto entrante ilustra a la perfección la lógica "pull" descrita en el apartado anterior: cuando la reputación de la agencia y el reconocimiento del flamenco como arte están suficientemente consolidados, son los propios programadores de prestigio quienes dan el primer paso. Cada uno de estos nombres funciona, además, en las propuestas comerciales, como una prueba concreta de la calidad y de la fiabilidad de la agencia.</w:t>
      </w:r>
    </w:p>
    <w:p>
      <w:pPr>
        <w:jc w:val="both"/>
      </w:pPr>
      <w:r>
        <w:t>Por último, la experiencia me permitió comprender que la decisión final de un director artístico rara vez responde a un único criterio. Lo que convence a un programador es, casi siempre, una combinación de factores: en ocasiones pesa más el nombre o el prestigio de la compañía, en otras la calidad artística de la producción, y en otras el precio. Saber leer cuál de estos factores prima en cada interlocutor es, precisamente, una de las competencias comerciales más sutiles del oficio, y una de las que pude observar de cerca durante mis prácticas.</w:t>
      </w:r>
    </w:p>
    <w:p>
      <w:pPr>
        <w:pStyle w:val="Heading2"/>
      </w:pPr>
      <w:r>
        <w:t>III.4 Aportes y límites de la formación LEA y de mi perfil</w:t>
      </w:r>
    </w:p>
    <w:p>
      <w:pPr>
        <w:jc w:val="both"/>
      </w:pPr>
      <w:r>
        <w:t>Estas prácticas constituyeron, finalmente, una ocasión para confrontar mi formación universitaria con la realidad del mundo profesional, y para evaluar en qué medida los conocimientos adquiridos en la Licencia LEA representaron una ventaja o, por el contrario, revelaron ciertas lagunas.</w:t>
      </w:r>
    </w:p>
    <w:p>
      <w:pPr>
        <w:jc w:val="both"/>
      </w:pPr>
      <w:r>
        <w:t>Los aportes de la formación LEA fueron claros y constantes. La combinación de lenguas, que constituye el núcleo de la formación, resultó ser exactamente la competencia que la empresa necesitaba: la capacidad de pasar del inglés al español según el interlocutor, y de movilizar incluso el árabe y el francés cuando era necesario, correspondía directamente al perfil buscado. Más allá de las lenguas, la orientación de la licencia hacia el management internacional me proporcionó marcos de comprensión útiles para entender la lógica B2B, la segmentación de un mercado o la noción de prospección comercial. La dimensión intercultural de la formación, a menudo abstracta en el aula, cobró todo su sentido en un equipo multicultural y en el contacto con interlocutores de decenas de países.</w:t>
      </w:r>
    </w:p>
    <w:p>
      <w:pPr>
        <w:jc w:val="both"/>
      </w:pPr>
      <w:r>
        <w:t>Sin embargo, la experiencia reveló también los límites de una formación necesariamente generalista. La laguna más evidente fue de orden técnico: ninguna asignatura me había preparado para el uso profesional de herramientas como Mailchimp, Canva o las funciones avanzadas de Excel, que tuve que aprender directamente en contexto. Del mismo modo, el vocabulario especializado del sector cultural —tanto en inglés como en español— no formaba parte de mi bagaje universitario y debió adquirirse sobre el terreno, como ya se ha analizado en la Parte II. Esta distancia entre la formación académica y las exigencias prácticas del puesto no debe interpretarse como un fallo de la licencia, sino como el recordatorio de que las prácticas cumplen precisamente la función de tender ese puente entre la universidad y el mundo profesional.</w:t>
      </w:r>
    </w:p>
    <w:p>
      <w:pPr>
        <w:jc w:val="both"/>
      </w:pPr>
      <w:r>
        <w:t>En cuanto a mi perfil personal, algunos rasgos resultaron ser auténticas ventajas. La autonomía y la capacidad de iniciativa fueron indispensables en una estructura pequeña que esperaba de los becarios responsabilidad y trabajo independiente desde las primeras semanas. El rigor en la gestión de las bases de datos y en la redacción de las propuestas se reveló igualmente valioso en un trabajo donde un error de dirección o de información podía hacer inútil todo el esfuerzo. A ello se sumó la ventaja de mi perfil plurilingüe —analizada en detalle en la Parte II—, que amplió el abanico de tareas que podía asumir y facilitó mi integración en un equipo internacional. Esta experiencia me confirmó que el valor de un perfil LEA no reside únicamente en el dominio de varias lenguas, sino en la capacidad de combinarlas con competencias profesionales aplicadas y con una verdadera flexibilidad de adaptación.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