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INTRODUCCIÓN</w:t>
      </w:r>
    </w:p>
    <w:p>
      <w:pPr>
        <w:pStyle w:val="BodyText"/>
      </w:pPr>
      <w:r>
        <w:t xml:space="preserve">En el marco de mi tercer año de Licencia LEA (Lenguas Extranjeras Aplicadas), especialidad inglés-español con mención en Management Internacional, en la Universidad Paul-Valéry Montpellier 3, he realizado unas prácticas de dos meses como International Marketing Intern en Sevilla, dentro de la empresa Flamenco Agency, del 15 de abril al 15 de junio de 2025.</w:t>
      </w:r>
    </w:p>
    <w:p>
      <w:pPr>
        <w:pStyle w:val="BodyText"/>
      </w:pPr>
      <w:r>
        <w:t xml:space="preserve">La búsqueda de estas prácticas se hizo enviando candidaturas espontáneas a varias empresas del sector cultural en Sevilla. El Sevilla Congress and Convention Bureau me dio una lista de contactos de empresas que buscaban estudiantes en prácticas. Gracias a esta información, pude contactar con Flamenco Agency, que aceptó mi candidatura. Elegí esta empresa por su dimensión internacional y por su trabajo en el sector cultural, que combina producción de espectáculos, gestión de giras y comunicación en varios idiomas. Más allá del aspecto profesional, quería también descubrir el flamenco en su lugar de origen y conocer la vida cultural de Sevilla. Esta inmersión empezó de manera muy intensa, porque llegué durante la Feria de Abril, una de las fiestas más importantes de Andalucía, que me permitió vivir directamente la riqueza de las tradiciones locales.</w:t>
      </w:r>
    </w:p>
    <w:p>
      <w:pPr>
        <w:pStyle w:val="BodyText"/>
      </w:pPr>
      <w:r>
        <w:t xml:space="preserve">Esta experiencia era una oportunidad concreta para aplicar los conocimientos de mi formación LEA: los módulos de marketing y comercio internacional, de traducción y redacción profesional, y los de comunicación intercultural y lenguas aplicadas. El entorno de trabajo era en inglés y en español, lo que era muy útil para mejorar mis competencias lingüísticas. Mi base en español era funcional al llegar, y la práctica diaria en la empresa me permitió progresar bastante, tanto en la comunicación oral como en el vocabulario especializado del mundo del flamenco y de las artes escénicas.</w:t>
      </w:r>
    </w:p>
    <w:p>
      <w:pPr>
        <w:pStyle w:val="BodyText"/>
      </w:pPr>
      <w:r>
        <w:t xml:space="preserve">Flamenco Agency es una pequeña empresa con sede en Sevilla, fundada en 2007 por Jaime Trancoso, doctor en musicología por la Universidad de Sevilla, con una formación complementaria en gestión cultural en Londres. La dirección está a cargo de Jaime Trancoso como director general y de su esposa Alexis Stainow, agente artística y directora de eventos desde 2009, que también tutorizaba a los becarios. Durante mis prácticas, el equipo de becarios estaba formado por cuatro personas: dos estudiantes españolas, un estudiante francés y una estudiante estadounidense, lo que daba a la empresa un ambiente muy internacional. La empresa trabaja también con una red de profesionales externos: mánagers de artistas, técnicos de sonido, coreógrafos y organizadores de eventos.</w:t>
      </w:r>
    </w:p>
    <w:p>
      <w:pPr>
        <w:pStyle w:val="BodyText"/>
      </w:pPr>
      <w:r>
        <w:t xml:space="preserve">Desde 2007, la agencia ha trabajado en más de 25 países y en 4 continentes, con festivales y teatros de prestigio como el Ghent Festival of Flanders, el Bangkok International Festival of Dance &amp; Music, el Royal Opera House Muscat o el Musée National Picasso de París. Su catálogo incluye espectáculos como Carmen, Flamenco Suite, Barcelona Flamenco Ballet, 4 Women 4 y Flamenco Piano &amp; Dance. La agencia también forma parte de redes internacionales como la ISPA, la EFA y la AAPPAC, y participa en congresos profesionales como WOMEX, Opera Europa, Classical:NEXT y Tanzmesse.</w:t>
      </w:r>
    </w:p>
    <w:p>
      <w:pPr>
        <w:pStyle w:val="BodyText"/>
      </w:pPr>
      <w:r>
        <w:t xml:space="preserve">El flamenco, reconocido como Patrimonio Cultural Inmaterial de la Humanidad por la UNESCO desde 2010, es uno de los símbolos más exportados de la cultura española. Tiene sus raíces en una mezcla de influencias andaluzas, gitanas y árabe-musulmanas. Sevilla es la capital histórica del flamenco y uno de los principales destinos de turismo cultural en Europa. Artistas como Carmen Amaya, Antonio Gades o Paco de Lucía lo hicieron conocer en todo el mundo desde mediados del siglo XX.</w:t>
      </w:r>
    </w:p>
    <w:p>
      <w:pPr>
        <w:pStyle w:val="BodyText"/>
      </w:pPr>
      <w:r>
        <w:t xml:space="preserve">Hoy, la forma de difundir el flamenco ha cambiado. Antes, los turistas viajaban a España para ver espectáculos en tablaos o festivales locales. Ahora, el flamenco viaja hacia sus públicos internacionales a través de giras y festivales en el extranjero. Pero el flamenco tiene una imagen ambivalente: a veces se percibe como un simple folklore turístico, y otras veces como un patrimonio cultural vivo y serio, presente en los grandes escenarios internacionales. Flamenco Agency trabaja precisamente en este espacio: intenta presentar el flamenco como una oferta artística profesional y competitiva, no como un espectáculo para turistas.</w:t>
      </w:r>
    </w:p>
    <w:p>
      <w:pPr>
        <w:pStyle w:val="BodyText"/>
      </w:pPr>
      <w:r>
        <w:t xml:space="preserve">Esto nos lleva a la siguiente pregunta: ¿cómo logra Flamenco Agency transformar el flamenco, entre folklore turístico y patrimonio cultural vivo, en una oferta artística competitiva en los mercados internacionales del espectáculo?</w:t>
      </w:r>
    </w:p>
    <w:p>
      <w:pPr>
        <w:pStyle w:val="BodyText"/>
      </w:pPr>
      <w:r>
        <w:t xml:space="preserve">Para responder, presentaremos primero mis misiones como becaria y los objetivos del trabajo realizado; después, analizaremos las prácticas lingüísticas durante la experiencia; y por último, reflexionaremos sobre las prácticas profesionales en el ámbito del marketing y la promoción internacional.</w:t>
      </w:r>
    </w:p>
    <w:p>
      <w:pPr>
        <w:pStyle w:val="BodyText"/>
      </w:pPr>
      <w:r>
        <w:t xml:space="preserve">════════════════════════════════════════════════════════════</w:t>
      </w:r>
      <w:r>
        <w:t xml:space="preserve"> </w:t>
      </w:r>
      <w:r>
        <w:t xml:space="preserve">PLAN DEL INFORME DE PRÁCTICAS</w:t>
      </w:r>
      <w:r>
        <w:t xml:space="preserve"> </w:t>
      </w:r>
      <w:r>
        <w:t xml:space="preserve">════════════════════════════════════════════════════════════</w:t>
      </w:r>
    </w:p>
    <w:p>
      <w:pPr>
        <w:pStyle w:val="BodyText"/>
      </w:pPr>
      <w:r>
        <w:t xml:space="preserve">PROBLEMÁTICA:</w:t>
      </w:r>
      <w:r>
        <w:t xml:space="preserve"> </w:t>
      </w:r>
      <w:r>
        <w:t xml:space="preserve">¿Cómo logra Flamenco Agency transformar el flamenco, entre folklore turístico y patrimonio cultural vivo, en una oferta artística competitiva en los mercados internacionales del espectáculo?</w:t>
      </w:r>
    </w:p>
    <w:tbl>
      <w:tblPr>
        <w:tblStyle w:val="Table"/>
        <w:tblW w:type="pct" w:w="4236"/>
        <w:tblLook w:firstRow="1" w:lastRow="0" w:firstColumn="0" w:lastColumn="0" w:noHBand="0" w:noVBand="0" w:val="0020"/>
        <w:jc w:val="start"/>
      </w:tblPr>
      <w:tblGrid>
        <w:gridCol w:w="6710"/>
      </w:tblGrid>
      <w:tr>
        <w:trPr>
          <w:tblHeader w:val="true"/>
        </w:trPr>
        <w:tc>
          <w:tcPr/>
          <w:p>
            <w:pPr>
              <w:pStyle w:val="Compact"/>
              <w:jc w:val="center"/>
            </w:pPr>
            <w:r>
              <w:t xml:space="preserve">PARTE I — MIS MISIONES COMO BECARIA</w:t>
            </w:r>
            <w:r>
              <w:t xml:space="preserve"> </w:t>
            </w:r>
            <w:r>
              <w:t xml:space="preserve">Idea central: la oferta artística profesional como herramienta de legitimación</w:t>
            </w:r>
          </w:p>
        </w:tc>
      </w:tr>
      <w:tr>
        <w:tc>
          <w:tcPr/>
          <w:p>
            <w:pPr>
              <w:pStyle w:val="Compact"/>
              <w:jc w:val="center"/>
            </w:pPr>
            <w:r>
              <w:t xml:space="preserve">PARTE II — PRÁCTICAS LINGÜÍSTICAS</w:t>
            </w:r>
            <w:r>
              <w:t xml:space="preserve"> </w:t>
            </w:r>
            <w:r>
              <w:t xml:space="preserve">Idea central: la lengua como vector de transformación de la imagen cultural del flamenco</w:t>
            </w:r>
          </w:p>
        </w:tc>
      </w:tr>
      <w:tr>
        <w:tc>
          <w:tcPr/>
          <w:p>
            <w:pPr>
              <w:pStyle w:val="Compact"/>
              <w:jc w:val="center"/>
            </w:pPr>
            <w:r>
              <w:t xml:space="preserve">II.1 El contexto multilingüe de la empresa</w:t>
            </w:r>
            <w:r>
              <w:t xml:space="preserve"> </w:t>
            </w:r>
            <w:r>
              <w:t xml:space="preserve">- Lenguas de trabajo: español e inglés</w:t>
            </w:r>
            <w:r>
              <w:t xml:space="preserve"> </w:t>
            </w:r>
            <w:r>
              <w:t xml:space="preserve">- Equipo multicultural: 4 becarios de 3 países distintos</w:t>
            </w:r>
            <w:r>
              <w:t xml:space="preserve"> </w:t>
            </w:r>
            <w:r>
              <w:t xml:space="preserve">- Comunicación adaptada según el mercado destinatario</w:t>
            </w:r>
          </w:p>
        </w:tc>
      </w:tr>
      <w:tr>
        <w:tc>
          <w:tcPr/>
          <w:p>
            <w:pPr>
              <w:pStyle w:val="Compact"/>
              <w:jc w:val="center"/>
            </w:pPr>
            <w:r>
              <w:t xml:space="preserve">II.2 La comunicación escrita profesional</w:t>
            </w:r>
            <w:r>
              <w:t xml:space="preserve"> </w:t>
            </w:r>
            <w:r>
              <w:t xml:space="preserve">- Redacción de propuestas en inglés: tono, estructura, registro profesional</w:t>
            </w:r>
            <w:r>
              <w:t xml:space="preserve"> </w:t>
            </w:r>
            <w:r>
              <w:t xml:space="preserve">- Traducción de materiales (dossiers, fichas técnicas, catálogos)</w:t>
            </w:r>
            <w:r>
              <w:t xml:space="preserve"> </w:t>
            </w:r>
            <w:r>
              <w:t xml:space="preserve">- El inglés como lengua de legitimación en los circuitos internacionales</w:t>
            </w:r>
          </w:p>
        </w:tc>
      </w:tr>
      <w:tr>
        <w:tc>
          <w:tcPr/>
          <w:p>
            <w:pPr>
              <w:pStyle w:val="Compact"/>
              <w:jc w:val="center"/>
            </w:pPr>
            <w:r>
              <w:t xml:space="preserve">II.3 Vocabulario especializado: glosario flamenco/artes escénicas</w:t>
            </w:r>
            <w:r>
              <w:t xml:space="preserve"> </w:t>
            </w:r>
            <w:r>
              <w:t xml:space="preserve">- Términos del mundo del flamenco (palos, tablao, bolo, gira…)</w:t>
            </w:r>
            <w:r>
              <w:t xml:space="preserve"> </w:t>
            </w:r>
            <w:r>
              <w:t xml:space="preserve">- Términos del marketing cultural (rider técnico, ficha artística, promotor…)</w:t>
            </w:r>
            <w:r>
              <w:t xml:space="preserve"> </w:t>
            </w:r>
            <w:r>
              <w:t xml:space="preserve">- El vocabulario como marcador de profesionalidad vs folklore</w:t>
            </w:r>
          </w:p>
        </w:tc>
      </w:tr>
      <w:tr>
        <w:tc>
          <w:tcPr/>
          <w:p>
            <w:pPr>
              <w:pStyle w:val="Compact"/>
              <w:jc w:val="center"/>
            </w:pPr>
            <w:r>
              <w:t xml:space="preserve">II.4 Mi progresión lingüística</w:t>
            </w:r>
            <w:r>
              <w:t xml:space="preserve"> </w:t>
            </w:r>
            <w:r>
              <w:t xml:space="preserve">- Del español funcional al español profesional especializado</w:t>
            </w:r>
            <w:r>
              <w:t xml:space="preserve"> </w:t>
            </w:r>
            <w:r>
              <w:t xml:space="preserve">- Dificultades encontradas y estrategias de adaptación</w:t>
            </w:r>
          </w:p>
        </w:tc>
      </w:tr>
    </w:tbl>
    <w:p>
      <w:pPr>
        <w:pStyle w:val="BodyText"/>
      </w:pPr>
      <w:r>
        <w:t xml:space="preserve">PARTE III — PRÁCTICAS PROFESIONALES</w:t>
      </w:r>
      <w:r>
        <w:t xml:space="preserve"> </w:t>
      </w:r>
      <w:r>
        <w:t xml:space="preserve">Idea central: una estrategia B2B que posiciona el flamenco fuera del circuito turístico</w:t>
      </w:r>
    </w:p>
    <w:p>
      <w:pPr>
        <w:pStyle w:val="BodyText"/>
      </w:pPr>
      <w:r>
        <w:t xml:space="preserve">III.1 El marketing B2B en el sector cultural</w:t>
      </w:r>
      <w:r>
        <w:t xml:space="preserve"> </w:t>
      </w:r>
      <w:r>
        <w:t xml:space="preserve">- Características del marketing de servicios aplicadas al espectáculo</w:t>
      </w:r>
      <w:r>
        <w:t xml:space="preserve"> </w:t>
      </w:r>
      <w:r>
        <w:t xml:space="preserve">- Los actores del proceso de compra B2B: directores artísticos, programadores</w:t>
      </w:r>
      <w:r>
        <w:t xml:space="preserve"> </w:t>
      </w:r>
      <w:r>
        <w:t xml:space="preserve">- La relación cliente-proveedor a largo plazo</w:t>
      </w:r>
    </w:p>
    <w:p>
      <w:pPr>
        <w:pStyle w:val="BodyText"/>
      </w:pPr>
      <w:r>
        <w:t xml:space="preserve">III.2 La estrategia de email marketing</w:t>
      </w:r>
      <w:r>
        <w:t xml:space="preserve"> </w:t>
      </w:r>
      <w:r>
        <w:t xml:space="preserve">- Mailchimp: segmentación, diseño, análisis de resultados</w:t>
      </w:r>
      <w:r>
        <w:t xml:space="preserve"> </w:t>
      </w:r>
      <w:r>
        <w:t xml:space="preserve">- Buenas prácticas: asunto, diseño profesional, CTA, adaptación móvil</w:t>
      </w:r>
      <w:r>
        <w:t xml:space="preserve"> </w:t>
      </w:r>
      <w:r>
        <w:t xml:space="preserve">- El email como herramienta de imagen de marca cultural</w:t>
      </w:r>
    </w:p>
    <w:p>
      <w:pPr>
        <w:pStyle w:val="BodyText"/>
      </w:pPr>
      <w:r>
        <w:t xml:space="preserve">III.3 La presencia digital y la imagen de marca</w:t>
      </w:r>
      <w:r>
        <w:t xml:space="preserve"> </w:t>
      </w:r>
      <w:r>
        <w:t xml:space="preserve">- Web multilingüe, redes sociales, catálogo visual</w:t>
      </w:r>
      <w:r>
        <w:t xml:space="preserve"> </w:t>
      </w:r>
      <w:r>
        <w:t xml:space="preserve">- Diagnóstico digital: fortalezas y áreas de mejora</w:t>
      </w:r>
      <w:r>
        <w:t xml:space="preserve"> </w:t>
      </w:r>
      <w:r>
        <w:t xml:space="preserve">- La imagen digital como diferenciador frente al folklore turístico</w:t>
      </w:r>
    </w:p>
    <w:p>
      <w:pPr>
        <w:pStyle w:val="BodyText"/>
      </w:pPr>
      <w:r>
        <w:t xml:space="preserve">III.4 Los congresos profesionales como estrategia de legitimación</w:t>
      </w:r>
      <w:r>
        <w:t xml:space="preserve"> </w:t>
      </w:r>
      <w:r>
        <w:t xml:space="preserve">- WOMEX, Opera Europa, Classical:NEXT, CINARS, APAP, Tanzmesse</w:t>
      </w:r>
      <w:r>
        <w:t xml:space="preserve"> </w:t>
      </w:r>
      <w:r>
        <w:t xml:space="preserve">- Pertenecer a la ISPA, EFA, AAPPAC: señales de credibilidad</w:t>
      </w:r>
      <w:r>
        <w:t xml:space="preserve"> </w:t>
      </w:r>
      <w:r>
        <w:t xml:space="preserve">- Del contacto al contrato: el proceso comercial B2B en el sector cultural</w:t>
      </w:r>
    </w:p>
    <w:tbl>
      <w:tblPr>
        <w:tblStyle w:val="Table"/>
        <w:tblW w:type="pct" w:w="4236"/>
        <w:tblLook w:firstRow="0" w:lastRow="0" w:firstColumn="0" w:lastColumn="0" w:noHBand="0" w:noVBand="0" w:val="0000"/>
        <w:jc w:val="start"/>
      </w:tblPr>
      <w:tblGrid>
        <w:gridCol w:w="6710"/>
      </w:tblGrid>
      <w:tr>
        <w:tc>
          <w:tcPr/>
          <w:p>
            <w:pPr>
              <w:pStyle w:val="Compact"/>
              <w:jc w:val="left"/>
            </w:pPr>
            <w:r>
              <w:t xml:space="preserve">CONCLUSIÓN</w:t>
            </w:r>
            <w:r>
              <w:t xml:space="preserve"> </w:t>
            </w:r>
            <w:r>
              <w:t xml:space="preserve">- Respuesta a la problemática: los 3 pilares de la transformación</w:t>
            </w:r>
            <w:r>
              <w:t xml:space="preserve"> </w:t>
            </w:r>
            <w:r>
              <w:t xml:space="preserve">(oferta profesionalizada / comunicación B2B / red de legitimación)</w:t>
            </w:r>
            <w:r>
              <w:t xml:space="preserve"> </w:t>
            </w:r>
            <w:r>
              <w:t xml:space="preserve">- Los límites: la imagen folklórica persiste en algunos mercados</w:t>
            </w:r>
            <w:r>
              <w:t xml:space="preserve"> </w:t>
            </w:r>
            <w:r>
              <w:t xml:space="preserve">- Balance personal, lingüístico y profesional</w:t>
            </w:r>
            <w:r>
              <w:t xml:space="preserve"> </w:t>
            </w:r>
            <w:r>
              <w:t xml:space="preserve">- Perspectivas para mi trayectoria LEA</w:t>
            </w:r>
          </w:p>
        </w:tc>
      </w:tr>
    </w:tbl>
    <w:p>
      <w:pPr>
        <w:pStyle w:val="BodyText"/>
      </w:pPr>
      <w:r>
        <w:t xml:space="preserve">ANEXOS</w:t>
      </w:r>
      <w:r>
        <w:t xml:space="preserve"> </w:t>
      </w:r>
      <w:r>
        <w:t xml:space="preserve">- Fichas técnicas de espectáculos</w:t>
      </w:r>
      <w:r>
        <w:t xml:space="preserve"> </w:t>
      </w:r>
      <w:r>
        <w:t xml:space="preserve">- Ejemplos de campañas Mailchimp</w:t>
      </w:r>
      <w:r>
        <w:t xml:space="preserve"> </w:t>
      </w:r>
      <w:r>
        <w:t xml:space="preserve">- Ejemplos de propuestas comerciales</w:t>
      </w:r>
      <w:r>
        <w:t xml:space="preserve"> </w:t>
      </w:r>
      <w:r>
        <w:t xml:space="preserve">- Glosario flamenco/artes escénicas</w:t>
      </w:r>
      <w:r>
        <w:t xml:space="preserve"> </w:t>
      </w:r>
      <w:r>
        <w:t xml:space="preserve">- Bibliografía (normas APA)</w:t>
      </w:r>
      <w:r>
        <w:t xml:space="preserve"> </w:t>
      </w:r>
      <w:r>
        <w:t xml:space="preserve">- Índice de ilustraciones</w:t>
      </w:r>
      <w:r>
        <w:t xml:space="preserve">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2026-05-29T16:03:33Z</dcterms:created>
  <dcterms:modified xsi:type="dcterms:W3CDTF">2026-05-29T16:03:33Z</dcterms:modified>
</cp:coreProperties>
</file>

<file path=docProps/custom.xml><?xml version="1.0" encoding="utf-8"?>
<Properties xmlns="http://schemas.openxmlformats.org/officeDocument/2006/custom-properties" xmlns:vt="http://schemas.openxmlformats.org/officeDocument/2006/docPropsVTypes"/>
</file>