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5b9ee37fa841bf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天津市滨海新区人民法院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执 行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（2014）滨执字第111号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申请执行人天津医药集团太平医药有限公司，住所地天津市和平区新华路201号。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法定代表人李洪刚，董事长。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被执行人天津国津九智医药销售有限公司，住所地天津空港经济区西三道158号金融中心4号楼701-D。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法定代表人雷升祥，董事长。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作出的（2013）滨民初字第1773号民事调解书已经发生法律效力，但被执行人至今未履行生效法律文书确定的义务。依照《中华人民共和国民事诉讼法》第二百四十二条、第二百四十四条、《最高人民法院关于适用〈中华人民共和国民事诉讼法〉若干问题的意见》第280条、《最高人民法院关于人民法院执行工作若干问题的规定（试行）》第32条、第38条、第42条、第43条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冻结、划拨被执行人天津国津九智医药销售有限公司存款62323元及相应的债务利息或查封、扣押、冻结其等值财产。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本裁定送达后即发生法律效力。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王士华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二〇一四年三月十二日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高用利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