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5bd328ac1ba4a4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天津市北辰区人民法院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（2017）津0113民初2766号</w:t>
      </w:r>
    </w:p>
    <w:p w:rsidR="009668B6" w:rsidRDefault="00AA6A72">
      <w:pPr>
        <w:ind w:firstLine="640" w:firstLineChars="200"/>
        <w:jc w:val="both"/>
      </w:pPr>
      <w:r>
        <w:rPr>
          <w:rFonts w:ascii="仿宋" w:hAnsi="仿宋"/>
          <w:sz w:val="32"/>
        </w:rPr>
        <w:t xml:space="preserve">原告：天津海纳智创生物科技有限公司，住所地天津市北辰区集贤里街拜泉里49-509。</w:t>
      </w:r>
    </w:p>
    <w:p w:rsidR="009668B6" w:rsidRDefault="00AA6A72">
      <w:pPr>
        <w:ind w:firstLine="640" w:firstLineChars="200"/>
        <w:jc w:val="both"/>
      </w:pPr>
      <w:r>
        <w:rPr>
          <w:rFonts w:ascii="仿宋" w:hAnsi="仿宋"/>
          <w:sz w:val="32"/>
        </w:rPr>
        <w:t xml:space="preserve">法定代表人：陈光，经理。</w:t>
      </w:r>
    </w:p>
    <w:p w:rsidR="009668B6" w:rsidRDefault="00AA6A72">
      <w:pPr>
        <w:ind w:firstLine="640" w:firstLineChars="200"/>
        <w:jc w:val="both"/>
      </w:pPr>
      <w:r>
        <w:rPr>
          <w:rFonts w:ascii="仿宋" w:hAnsi="仿宋"/>
          <w:sz w:val="32"/>
        </w:rPr>
        <w:t xml:space="preserve">委托诉讼代理人：高一明，女，该公司员工。</w:t>
      </w:r>
    </w:p>
    <w:p w:rsidR="009668B6" w:rsidRDefault="00AA6A72">
      <w:pPr>
        <w:ind w:firstLine="640" w:firstLineChars="200"/>
        <w:jc w:val="both"/>
      </w:pPr>
      <w:r>
        <w:rPr>
          <w:rFonts w:ascii="仿宋" w:hAnsi="仿宋"/>
          <w:sz w:val="32"/>
        </w:rPr>
        <w:t xml:space="preserve">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法定代表人：ＸＸ，董事长。</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被告：天津太平（集团）有限公司药品综合经营分公司，住所地天津市和平区福安大街新文化花园新丽居2号楼B座303-304。</w:t>
      </w:r>
    </w:p>
    <w:p w:rsidR="009668B6" w:rsidRDefault="00AA6A72">
      <w:pPr>
        <w:ind w:firstLine="640" w:firstLineChars="200"/>
        <w:jc w:val="both"/>
      </w:pPr>
      <w:r>
        <w:rPr>
          <w:rFonts w:ascii="仿宋" w:hAnsi="仿宋"/>
          <w:sz w:val="32"/>
        </w:rPr>
        <w:t xml:space="preserve">负责人：尚明杰。</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原告天津海纳智创生物科技有限公司与被告天津医药集团太平医药有限公司、天津太平（集团）有限公司药品综合经营分公司买卖合同纠纷一案，本院于2017年5月4日立案后，依法适用简易程序。</w:t>
      </w:r>
    </w:p>
    <w:p w:rsidR="009668B6" w:rsidRDefault="00AA6A72">
      <w:pPr>
        <w:ind w:firstLine="640" w:firstLineChars="200"/>
        <w:jc w:val="both"/>
      </w:pPr>
      <w:r>
        <w:rPr>
          <w:rFonts w:ascii="仿宋" w:hAnsi="仿宋"/>
          <w:sz w:val="32"/>
        </w:rPr>
        <w:t xml:space="preserve">本院经审查认为，本案案情复杂，不宜适用简易程序。</w:t>
      </w:r>
    </w:p>
    <w:p w:rsidR="009668B6" w:rsidRDefault="00AA6A72">
      <w:pPr>
        <w:ind w:firstLine="640" w:firstLineChars="200"/>
        <w:jc w:val="both"/>
      </w:pPr>
      <w:r>
        <w:rPr>
          <w:rFonts w:ascii="仿宋" w:hAnsi="仿宋"/>
          <w:sz w:val="32"/>
        </w:rPr>
        <w:t xml:space="preserve">依照《中华人民共和国民事诉讼法》第一百六十三条规定，裁定如下：</w:t>
      </w:r>
    </w:p>
    <w:p w:rsidR="009668B6" w:rsidRDefault="00AA6A72">
      <w:pPr>
        <w:ind w:firstLine="640" w:firstLineChars="200"/>
        <w:jc w:val="both"/>
      </w:pPr>
      <w:r>
        <w:rPr>
          <w:rFonts w:ascii="仿宋" w:hAnsi="仿宋"/>
          <w:sz w:val="32"/>
        </w:rPr>
        <w:t xml:space="preserve">本案转为普通程序审理。</w:t>
      </w:r>
    </w:p>
    <w:p w:rsidR="009668B6" w:rsidRDefault="00AA6A72">
      <w:pPr>
        <w:ind w:firstLine="640" w:firstLineChars="200"/>
        <w:jc w:val="right"/>
      </w:pPr>
      <w:r>
        <w:rPr>
          <w:rFonts w:ascii="仿宋" w:hAnsi="仿宋"/>
          <w:sz w:val="32"/>
        </w:rPr>
        <w:t xml:space="preserve">审　判　长　　裴忠贺</w:t>
      </w:r>
    </w:p>
    <w:p w:rsidR="009668B6" w:rsidRDefault="00AA6A72">
      <w:pPr>
        <w:ind w:firstLine="640" w:firstLineChars="200"/>
        <w:jc w:val="right"/>
      </w:pPr>
      <w:r>
        <w:rPr>
          <w:rFonts w:ascii="仿宋" w:hAnsi="仿宋"/>
          <w:sz w:val="32"/>
        </w:rPr>
        <w:t xml:space="preserve">审　判　员　　边凤乐</w:t>
      </w:r>
    </w:p>
    <w:p w:rsidR="009668B6" w:rsidRDefault="00AA6A72">
      <w:pPr>
        <w:ind w:firstLine="640" w:firstLineChars="200"/>
        <w:jc w:val="right"/>
      </w:pPr>
      <w:r>
        <w:rPr>
          <w:rFonts w:ascii="仿宋" w:hAnsi="仿宋"/>
          <w:sz w:val="32"/>
        </w:rPr>
        <w:t xml:space="preserve">人民陪审员　　刘品德</w:t>
      </w:r>
      <w:r>
        <w:br/>
      </w:r>
    </w:p>
    <w:p w:rsidR="009668B6" w:rsidRDefault="00AA6A72">
      <w:pPr>
        <w:ind w:firstLine="640" w:firstLineChars="200"/>
        <w:jc w:val="right"/>
      </w:pPr>
      <w:r>
        <w:rPr>
          <w:rFonts w:ascii="仿宋" w:hAnsi="仿宋"/>
          <w:sz w:val="32"/>
        </w:rPr>
        <w:t xml:space="preserve">二〇一七年十二月九日</w:t>
      </w:r>
    </w:p>
    <w:p w:rsidR="009668B6" w:rsidRDefault="00AA6A72">
      <w:pPr>
        <w:ind w:firstLine="640" w:firstLineChars="200"/>
        <w:jc w:val="right"/>
      </w:pPr>
      <w:r>
        <w:rPr>
          <w:rFonts w:ascii="仿宋" w:hAnsi="仿宋"/>
          <w:sz w:val="32"/>
        </w:rPr>
        <w:t xml:space="preserve">书　记　员　　孙学焕</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《中华人民共和国民事诉讼法》</w:t>
      </w:r>
    </w:p>
    <w:p w:rsidR="009668B6" w:rsidRDefault="00AA6A72">
      <w:pPr>
        <w:ind w:firstLine="640" w:firstLineChars="200"/>
        <w:jc w:val="both"/>
      </w:pPr>
      <w:r>
        <w:rPr>
          <w:rFonts w:ascii="仿宋" w:hAnsi="仿宋"/>
          <w:sz w:val="32"/>
        </w:rPr>
        <w:t xml:space="preserve">第一百六十三条人民法院在审理过程中，发现案件不宜适用简易程序的，裁定转为普通程序。</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