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jc w:val="center"/>
      </w:pPr>
      <w:r>
        <w:rPr>
          <w:rFonts w:ascii="Calibri" w:cs="Calibri" w:eastAsia="Calibri" w:hAnsi="Calibri"/>
          <w:color w:val="595959"/>
          <w:sz w:val="26"/>
          <w:szCs w:val="26"/>
        </w:rPr>
        <w:t xml:space="preserve">TEK-UP — Cours Séries Temporelles pour Data Science &amp; IA</w:t>
      </w:r>
    </w:p>
    <w:p>
      <w:pPr>
        <w:spacing w:after="200" w:before="600"/>
        <w:jc w:val="center"/>
      </w:pPr>
      <w:r>
        <w:rPr>
          <w:rFonts w:ascii="Calibri" w:cs="Calibri" w:eastAsia="Calibri" w:hAnsi="Calibri"/>
          <w:b/>
          <w:bCs/>
          <w:color w:val="2E75B6"/>
          <w:sz w:val="28"/>
          <w:szCs w:val="28"/>
        </w:rPr>
        <w:t xml:space="preserve">MINI-PROJET</w:t>
      </w:r>
    </w:p>
    <w:p>
      <w:pPr>
        <w:spacing w:after="200"/>
        <w:jc w:val="center"/>
      </w:pPr>
      <w:r>
        <w:rPr>
          <w:rFonts w:ascii="Calibri" w:cs="Calibri" w:eastAsia="Calibri" w:hAnsi="Calibri"/>
          <w:b/>
          <w:bCs/>
          <w:color w:val="1F3864"/>
          <w:sz w:val="44"/>
          <w:szCs w:val="44"/>
        </w:rPr>
        <w:t xml:space="preserve">Modélisation, prévision et diagnostic de séries temporelles multidimensionnelles</w:t>
      </w:r>
    </w:p>
    <w:p>
      <w:pPr>
        <w:spacing w:after="600"/>
        <w:jc w:val="center"/>
      </w:pPr>
      <w:r>
        <w:rPr>
          <w:rFonts w:ascii="Calibri" w:cs="Calibri" w:eastAsia="Calibri" w:hAnsi="Calibri"/>
          <w:i/>
          <w:iCs/>
          <w:color w:val="404040"/>
          <w:sz w:val="26"/>
          <w:szCs w:val="26"/>
        </w:rPr>
        <w:t xml:space="preserve">Coca-Cola (KO) et PepsiCo (PEP), 2019-2024 : de l'ARIMA aux réseaux récurrents, en passant par la cointégration, le GARCH et l'IA générative</w:t>
      </w:r>
    </w:p>
    <w:p>
      <w:pPr>
        <w:jc w:val="center"/>
      </w:pPr>
      <w:r>
        <w:rPr>
          <w:rFonts w:ascii="Calibri" w:cs="Calibri" w:eastAsia="Calibri" w:hAnsi="Calibri"/>
          <w:sz w:val="24"/>
          <w:szCs w:val="24"/>
        </w:rPr>
        <w:t xml:space="preserve">Thématique choisie : Option A — Données financières (Yahoo Finance)</w:t>
      </w:r>
    </w:p>
    <w:p>
      <w:pPr>
        <w:spacing w:before="120"/>
        <w:jc w:val="center"/>
      </w:pPr>
      <w:r>
        <w:rPr>
          <w:rFonts w:ascii="Calibri" w:cs="Calibri" w:eastAsia="Calibri" w:hAnsi="Calibri"/>
          <w:sz w:val="24"/>
          <w:szCs w:val="24"/>
        </w:rPr>
        <w:t xml:space="preserve">Réalisé par : [Nom(s) et prénom(s) — à compléter]</w:t>
      </w:r>
    </w:p>
    <w:p>
      <w:pPr>
        <w:spacing w:before="120"/>
        <w:jc w:val="center"/>
      </w:pPr>
      <w:r>
        <w:rPr>
          <w:rFonts w:ascii="Calibri" w:cs="Calibri" w:eastAsia="Calibri" w:hAnsi="Calibri"/>
          <w:sz w:val="24"/>
          <w:szCs w:val="24"/>
        </w:rPr>
        <w:t xml:space="preserve">Date de remise : 12 octobre 2026</w:t>
      </w:r>
    </w:p>
    <w:p>
      <w:r>
        <w:br w:type="page"/>
      </w:r>
    </w:p>
    <w:p>
      <w:pPr>
        <w:pStyle w:val="Heading1"/>
        <w:keepNext/>
        <w:spacing w:after="160" w:before="360"/>
      </w:pPr>
      <w:r>
        <w:rPr>
          <w:rFonts w:ascii="Calibri" w:cs="Calibri" w:eastAsia="Calibri" w:hAnsi="Calibri"/>
          <w:b/>
          <w:bCs/>
          <w:color w:val="1F3864"/>
          <w:sz w:val="32"/>
          <w:szCs w:val="32"/>
        </w:rPr>
        <w:t xml:space="preserve">Résumé</w:t>
      </w:r>
    </w:p>
    <w:p>
      <w:pPr>
        <w:spacing w:after="120" w:line="276"/>
        <w:jc w:val="both"/>
      </w:pPr>
      <w:r>
        <w:rPr>
          <w:rFonts w:ascii="Calibri" w:cs="Calibri" w:eastAsia="Calibri" w:hAnsi="Calibri"/>
          <w:sz w:val="22"/>
          <w:szCs w:val="22"/>
        </w:rPr>
        <w:t xml:space="preserve">Ce rapport étudie les cours ajustés de Coca-Cola (KO) et PepsiCo (PEP) sur 1 510 séances (2 janvier 2019 – 31 décembre 2024). La question posée est la suivante : peut-on prévoir le cours de KO à 10 jours mieux qu'une simple marche aléatoire, en exploitant (i) la dynamique propre de KO (ARIMA/SARIMA), (ii) l'information de PEP (VAR, cointégration, VECM), (iii) la volatilité conditionnelle (GARCH) ou (iv) des réseaux récurrents (LSTM, GRU) ?</w:t>
      </w:r>
    </w:p>
    <w:p>
      <w:pPr>
        <w:spacing w:after="120" w:line="276"/>
        <w:jc w:val="both"/>
      </w:pPr>
      <w:r>
        <w:rPr>
          <w:rFonts w:ascii="Calibri" w:cs="Calibri" w:eastAsia="Calibri" w:hAnsi="Calibri"/>
          <w:sz w:val="22"/>
          <w:szCs w:val="22"/>
        </w:rPr>
        <w:t xml:space="preserve">Les tests établissent que les log-prix sont intégrés d'ordre 1 (d = 1), que les résidus des modèles de moyenne présentent des effets ARCH très marqués (p ≈ 10⁻⁶⁴), et que KO et PEP sont cointégrées (Engle-Granger p = 0,031 ; correction d'erreur de KO de 2,1 % par jour, demi-vie ≈ 32 jours). Un GARCH(1,1) à innovations de Student rétablit l'homoscédasticité des résidus standardisés (p = 0,997). </w:t>
      </w:r>
      <w:r>
        <w:rPr>
          <w:rFonts w:ascii="Calibri" w:cs="Calibri" w:eastAsia="Calibri" w:hAnsi="Calibri"/>
          <w:b/>
          <w:bCs/>
          <w:sz w:val="22"/>
          <w:szCs w:val="22"/>
        </w:rPr>
        <w:t xml:space="preserve">En revanche, aucun des sept modèles de prévision de moyenne ne bat significativement la baseline naïve</w:t>
      </w:r>
      <w:r>
        <w:rPr>
          <w:rFonts w:ascii="Calibri" w:cs="Calibri" w:eastAsia="Calibri" w:hAnsi="Calibri"/>
          <w:sz w:val="22"/>
          <w:szCs w:val="22"/>
        </w:rPr>
        <w:t xml:space="preserve"> (test de Diebold-Mariano, toutes les p-values &gt; 0,07) : le GRU obtient le meilleur RMSE (1,397 $ contre 1,404 $), un écart de 0,5 % sans portée statistique. Nous retenons donc la baseline naïve ou l'ARIMA pour la prévision du prix, et le GARCH-t pour la mesure du risque.</w:t>
      </w:r>
    </w:p>
    <w:p>
      <w:pPr>
        <w:spacing w:after="120" w:line="276"/>
        <w:jc w:val="both"/>
      </w:pPr>
      <w:r>
        <w:rPr>
          <w:rFonts w:ascii="Calibri" w:cs="Calibri" w:eastAsia="Calibri" w:hAnsi="Calibri"/>
          <w:sz w:val="22"/>
          <w:szCs w:val="22"/>
        </w:rPr>
        <w:t xml:space="preserve">Le rapport présente aussi la comparaison R / Python du socle classique et l'usage critique d'un LLM (hypothèses, vulgarisation, recommandations simulées), avec une vérification systématique de ses affirmations.</w:t>
      </w:r>
    </w:p>
    <w:p>
      <w:pPr>
        <w:pStyle w:val="Heading2"/>
        <w:keepNext/>
        <w:spacing w:after="100" w:before="240"/>
      </w:pPr>
      <w:r>
        <w:rPr>
          <w:rFonts w:ascii="Calibri" w:cs="Calibri" w:eastAsia="Calibri" w:hAnsi="Calibri"/>
          <w:b/>
          <w:bCs/>
          <w:color w:val="2E75B6"/>
          <w:sz w:val="26"/>
          <w:szCs w:val="26"/>
        </w:rPr>
        <w:t xml:space="preserve">Plan du rapport</w:t>
      </w:r>
    </w:p>
    <w:p>
      <w:pPr>
        <w:pStyle w:val="ListParagraph"/>
        <w:numPr>
          <w:ilvl w:val="0"/>
          <w:numId w:val="2"/>
        </w:numPr>
        <w:spacing w:after="60" w:line="264"/>
      </w:pPr>
      <w:r>
        <w:rPr>
          <w:rFonts w:ascii="Calibri" w:cs="Calibri" w:eastAsia="Calibri" w:hAnsi="Calibri"/>
          <w:b/>
          <w:bCs/>
          <w:sz w:val="22"/>
          <w:szCs w:val="22"/>
        </w:rPr>
        <w:t xml:space="preserve">1.</w:t>
      </w:r>
      <w:r>
        <w:rPr>
          <w:rFonts w:ascii="Calibri" w:cs="Calibri" w:eastAsia="Calibri" w:hAnsi="Calibri"/>
          <w:sz w:val="22"/>
          <w:szCs w:val="22"/>
        </w:rPr>
        <w:t xml:space="preserve"> Introduction et choix de la thématique</w:t>
      </w:r>
    </w:p>
    <w:p>
      <w:pPr>
        <w:pStyle w:val="ListParagraph"/>
        <w:numPr>
          <w:ilvl w:val="0"/>
          <w:numId w:val="2"/>
        </w:numPr>
        <w:spacing w:after="60" w:line="264"/>
      </w:pPr>
      <w:r>
        <w:rPr>
          <w:rFonts w:ascii="Calibri" w:cs="Calibri" w:eastAsia="Calibri" w:hAnsi="Calibri"/>
          <w:b/>
          <w:bCs/>
          <w:sz w:val="22"/>
          <w:szCs w:val="22"/>
        </w:rPr>
        <w:t xml:space="preserve">2.</w:t>
      </w:r>
      <w:r>
        <w:rPr>
          <w:rFonts w:ascii="Calibri" w:cs="Calibri" w:eastAsia="Calibri" w:hAnsi="Calibri"/>
          <w:sz w:val="22"/>
          <w:szCs w:val="22"/>
        </w:rPr>
        <w:t xml:space="preserve"> Données et préparation</w:t>
      </w:r>
    </w:p>
    <w:p>
      <w:pPr>
        <w:pStyle w:val="ListParagraph"/>
        <w:numPr>
          <w:ilvl w:val="0"/>
          <w:numId w:val="2"/>
        </w:numPr>
        <w:spacing w:after="60" w:line="264"/>
      </w:pPr>
      <w:r>
        <w:rPr>
          <w:rFonts w:ascii="Calibri" w:cs="Calibri" w:eastAsia="Calibri" w:hAnsi="Calibri"/>
          <w:b/>
          <w:bCs/>
          <w:sz w:val="22"/>
          <w:szCs w:val="22"/>
        </w:rPr>
        <w:t xml:space="preserve">3.</w:t>
      </w:r>
      <w:r>
        <w:rPr>
          <w:rFonts w:ascii="Calibri" w:cs="Calibri" w:eastAsia="Calibri" w:hAnsi="Calibri"/>
          <w:sz w:val="22"/>
          <w:szCs w:val="22"/>
        </w:rPr>
        <w:t xml:space="preserve"> Analyse exploratoire</w:t>
      </w:r>
    </w:p>
    <w:p>
      <w:pPr>
        <w:pStyle w:val="ListParagraph"/>
        <w:numPr>
          <w:ilvl w:val="0"/>
          <w:numId w:val="2"/>
        </w:numPr>
        <w:spacing w:after="60" w:line="264"/>
      </w:pPr>
      <w:r>
        <w:rPr>
          <w:rFonts w:ascii="Calibri" w:cs="Calibri" w:eastAsia="Calibri" w:hAnsi="Calibri"/>
          <w:b/>
          <w:bCs/>
          <w:sz w:val="22"/>
          <w:szCs w:val="22"/>
        </w:rPr>
        <w:t xml:space="preserve">4.</w:t>
      </w:r>
      <w:r>
        <w:rPr>
          <w:rFonts w:ascii="Calibri" w:cs="Calibri" w:eastAsia="Calibri" w:hAnsi="Calibri"/>
          <w:sz w:val="22"/>
          <w:szCs w:val="22"/>
        </w:rPr>
        <w:t xml:space="preserve"> Modélisation classique : ARIMA/SARIMA, VAR, cointégration/VECM, GARCH</w:t>
      </w:r>
    </w:p>
    <w:p>
      <w:pPr>
        <w:pStyle w:val="ListParagraph"/>
        <w:numPr>
          <w:ilvl w:val="0"/>
          <w:numId w:val="2"/>
        </w:numPr>
        <w:spacing w:after="60" w:line="264"/>
      </w:pPr>
      <w:r>
        <w:rPr>
          <w:rFonts w:ascii="Calibri" w:cs="Calibri" w:eastAsia="Calibri" w:hAnsi="Calibri"/>
          <w:b/>
          <w:bCs/>
          <w:sz w:val="22"/>
          <w:szCs w:val="22"/>
        </w:rPr>
        <w:t xml:space="preserve">5.</w:t>
      </w:r>
      <w:r>
        <w:rPr>
          <w:rFonts w:ascii="Calibri" w:cs="Calibri" w:eastAsia="Calibri" w:hAnsi="Calibri"/>
          <w:sz w:val="22"/>
          <w:szCs w:val="22"/>
        </w:rPr>
        <w:t xml:space="preserve"> Modélisation avancée : LSTM et GRU</w:t>
      </w:r>
    </w:p>
    <w:p>
      <w:pPr>
        <w:pStyle w:val="ListParagraph"/>
        <w:numPr>
          <w:ilvl w:val="0"/>
          <w:numId w:val="2"/>
        </w:numPr>
        <w:spacing w:after="60" w:line="264"/>
      </w:pPr>
      <w:r>
        <w:rPr>
          <w:rFonts w:ascii="Calibri" w:cs="Calibri" w:eastAsia="Calibri" w:hAnsi="Calibri"/>
          <w:b/>
          <w:bCs/>
          <w:sz w:val="22"/>
          <w:szCs w:val="22"/>
        </w:rPr>
        <w:t xml:space="preserve">6.</w:t>
      </w:r>
      <w:r>
        <w:rPr>
          <w:rFonts w:ascii="Calibri" w:cs="Calibri" w:eastAsia="Calibri" w:hAnsi="Calibri"/>
          <w:sz w:val="22"/>
          <w:szCs w:val="22"/>
        </w:rPr>
        <w:t xml:space="preserve"> Prévision et évaluation comparative</w:t>
      </w:r>
    </w:p>
    <w:p>
      <w:pPr>
        <w:pStyle w:val="ListParagraph"/>
        <w:numPr>
          <w:ilvl w:val="0"/>
          <w:numId w:val="2"/>
        </w:numPr>
        <w:spacing w:after="60" w:line="264"/>
      </w:pPr>
      <w:r>
        <w:rPr>
          <w:rFonts w:ascii="Calibri" w:cs="Calibri" w:eastAsia="Calibri" w:hAnsi="Calibri"/>
          <w:b/>
          <w:bCs/>
          <w:sz w:val="22"/>
          <w:szCs w:val="22"/>
        </w:rPr>
        <w:t xml:space="preserve">7.</w:t>
      </w:r>
      <w:r>
        <w:rPr>
          <w:rFonts w:ascii="Calibri" w:cs="Calibri" w:eastAsia="Calibri" w:hAnsi="Calibri"/>
          <w:sz w:val="22"/>
          <w:szCs w:val="22"/>
        </w:rPr>
        <w:t xml:space="preserve"> Comparaison R / Python</w:t>
      </w:r>
    </w:p>
    <w:p>
      <w:pPr>
        <w:pStyle w:val="ListParagraph"/>
        <w:numPr>
          <w:ilvl w:val="0"/>
          <w:numId w:val="2"/>
        </w:numPr>
        <w:spacing w:after="60" w:line="264"/>
      </w:pPr>
      <w:r>
        <w:rPr>
          <w:rFonts w:ascii="Calibri" w:cs="Calibri" w:eastAsia="Calibri" w:hAnsi="Calibri"/>
          <w:b/>
          <w:bCs/>
          <w:sz w:val="22"/>
          <w:szCs w:val="22"/>
        </w:rPr>
        <w:t xml:space="preserve">8.</w:t>
      </w:r>
      <w:r>
        <w:rPr>
          <w:rFonts w:ascii="Calibri" w:cs="Calibri" w:eastAsia="Calibri" w:hAnsi="Calibri"/>
          <w:sz w:val="22"/>
          <w:szCs w:val="22"/>
        </w:rPr>
        <w:t xml:space="preserve"> IA générative et LLM</w:t>
      </w:r>
    </w:p>
    <w:p>
      <w:pPr>
        <w:pStyle w:val="ListParagraph"/>
        <w:numPr>
          <w:ilvl w:val="0"/>
          <w:numId w:val="2"/>
        </w:numPr>
        <w:spacing w:after="60" w:line="264"/>
      </w:pPr>
      <w:r>
        <w:rPr>
          <w:rFonts w:ascii="Calibri" w:cs="Calibri" w:eastAsia="Calibri" w:hAnsi="Calibri"/>
          <w:b/>
          <w:bCs/>
          <w:sz w:val="22"/>
          <w:szCs w:val="22"/>
        </w:rPr>
        <w:t xml:space="preserve">9.</w:t>
      </w:r>
      <w:r>
        <w:rPr>
          <w:rFonts w:ascii="Calibri" w:cs="Calibri" w:eastAsia="Calibri" w:hAnsi="Calibri"/>
          <w:sz w:val="22"/>
          <w:szCs w:val="22"/>
        </w:rPr>
        <w:t xml:space="preserve"> Discussion critique</w:t>
      </w:r>
    </w:p>
    <w:p>
      <w:pPr>
        <w:pStyle w:val="ListParagraph"/>
        <w:numPr>
          <w:ilvl w:val="0"/>
          <w:numId w:val="2"/>
        </w:numPr>
        <w:spacing w:after="60" w:line="264"/>
      </w:pPr>
      <w:r>
        <w:rPr>
          <w:rFonts w:ascii="Calibri" w:cs="Calibri" w:eastAsia="Calibri" w:hAnsi="Calibri"/>
          <w:b/>
          <w:bCs/>
          <w:sz w:val="22"/>
          <w:szCs w:val="22"/>
        </w:rPr>
        <w:t xml:space="preserve">10.</w:t>
      </w:r>
      <w:r>
        <w:rPr>
          <w:rFonts w:ascii="Calibri" w:cs="Calibri" w:eastAsia="Calibri" w:hAnsi="Calibri"/>
          <w:sz w:val="22"/>
          <w:szCs w:val="22"/>
        </w:rPr>
        <w:t xml:space="preserve"> Conclusion — Annexes (conformité au cahier des charges, reproductibilité)</w:t>
      </w:r>
    </w:p>
    <w:p>
      <w:r>
        <w:br w:type="page"/>
      </w:r>
    </w:p>
    <w:p>
      <w:pPr>
        <w:pStyle w:val="Heading1"/>
        <w:keepNext/>
        <w:spacing w:after="160" w:before="360"/>
      </w:pPr>
      <w:r>
        <w:rPr>
          <w:rFonts w:ascii="Calibri" w:cs="Calibri" w:eastAsia="Calibri" w:hAnsi="Calibri"/>
          <w:b/>
          <w:bCs/>
          <w:color w:val="1F3864"/>
          <w:sz w:val="32"/>
          <w:szCs w:val="32"/>
        </w:rPr>
        <w:t xml:space="preserve">1. Introduction</w:t>
      </w:r>
    </w:p>
    <w:p>
      <w:pPr>
        <w:spacing w:after="120" w:line="276"/>
        <w:jc w:val="both"/>
      </w:pPr>
      <w:r>
        <w:rPr>
          <w:rFonts w:ascii="Calibri" w:cs="Calibri" w:eastAsia="Calibri" w:hAnsi="Calibri"/>
          <w:b/>
          <w:bCs/>
          <w:sz w:val="22"/>
          <w:szCs w:val="22"/>
        </w:rPr>
        <w:t xml:space="preserve">Choix de la thématique.</w:t>
      </w:r>
      <w:r>
        <w:rPr>
          <w:rFonts w:ascii="Calibri" w:cs="Calibri" w:eastAsia="Calibri" w:hAnsi="Calibri"/>
          <w:sz w:val="22"/>
          <w:szCs w:val="22"/>
        </w:rPr>
        <w:t xml:space="preserve"> Nous avons retenu l'option finance, avec KO et PEP, car ce sont deux concurrents directs du même secteur (boissons), exposés aux mêmes chocs, dont les rendements sont fortement corrélés (ρ = 0,75) : le couple se prête naturellement à un VAR, à un test de cointégration et à une étude de volatilité conditionnelle, c'est-à-dire à l'ensemble des outils du cours.</w:t>
      </w:r>
    </w:p>
    <w:p>
      <w:pPr>
        <w:spacing w:after="120" w:line="276"/>
        <w:jc w:val="both"/>
      </w:pPr>
      <w:r>
        <w:rPr>
          <w:rFonts w:ascii="Calibri" w:cs="Calibri" w:eastAsia="Calibri" w:hAnsi="Calibri"/>
          <w:b/>
          <w:bCs/>
          <w:sz w:val="22"/>
          <w:szCs w:val="22"/>
        </w:rPr>
        <w:t xml:space="preserve">Question de modélisation.</w:t>
      </w:r>
      <w:r>
        <w:rPr>
          <w:rFonts w:ascii="Calibri" w:cs="Calibri" w:eastAsia="Calibri" w:hAnsi="Calibri"/>
          <w:sz w:val="22"/>
          <w:szCs w:val="22"/>
        </w:rPr>
        <w:t xml:space="preserve"> La prévision du cours de KO à l'horizon h = 10 séances peut-elle être améliorée, de façon statistiquement significative, par rapport à une baseline naïve (dernier cours observé) ? Le raisonnement suit les consignes du cahier des charges : chaque modèle est précédé d'un diagnostic qui le justifie, et suivi d'un diagnostic de résidus qui le valide ou l'invalide.</w:t>
      </w:r>
    </w:p>
    <w:p>
      <w:pPr>
        <w:spacing w:after="120" w:line="276"/>
        <w:jc w:val="both"/>
      </w:pPr>
      <w:r>
        <w:rPr>
          <w:rFonts w:ascii="Calibri" w:cs="Calibri" w:eastAsia="Calibri" w:hAnsi="Calibri"/>
          <w:b/>
          <w:bCs/>
          <w:sz w:val="22"/>
          <w:szCs w:val="22"/>
        </w:rPr>
        <w:t xml:space="preserve">Démarche.</w:t>
      </w:r>
      <w:r>
        <w:rPr>
          <w:rFonts w:ascii="Calibri" w:cs="Calibri" w:eastAsia="Calibri" w:hAnsi="Calibri"/>
          <w:sz w:val="22"/>
          <w:szCs w:val="22"/>
        </w:rPr>
        <w:t xml:space="preserve"> Les données sont téléchargées et préparées (section 2), explorées (section 3), puis modélisées par des approches classiques (section 4) et neuronales (section 5). Les prévisions sont comparées sur un échantillon test commun avec MSE, RMSE, MAE, MAPE et test de Diebold-Mariano (section 6). Le code est fourni en Python (socle complet) et en R (socle classique) ; les réseaux de neurones sont en Python uniquement, ce qui est autorisé et signalé comme tel.</w:t>
      </w:r>
    </w:p>
    <w:p>
      <w:pPr>
        <w:pStyle w:val="Heading1"/>
        <w:keepNext/>
        <w:spacing w:after="160" w:before="360"/>
      </w:pPr>
      <w:r>
        <w:rPr>
          <w:rFonts w:ascii="Calibri" w:cs="Calibri" w:eastAsia="Calibri" w:hAnsi="Calibri"/>
          <w:b/>
          <w:bCs/>
          <w:color w:val="1F3864"/>
          <w:sz w:val="32"/>
          <w:szCs w:val="32"/>
        </w:rPr>
        <w:t xml:space="preserve">2. Données et préparation</w:t>
      </w:r>
    </w:p>
    <w:p>
      <w:pPr>
        <w:pStyle w:val="Heading2"/>
        <w:keepNext/>
        <w:spacing w:after="100" w:before="240"/>
      </w:pPr>
      <w:r>
        <w:rPr>
          <w:rFonts w:ascii="Calibri" w:cs="Calibri" w:eastAsia="Calibri" w:hAnsi="Calibri"/>
          <w:b/>
          <w:bCs/>
          <w:color w:val="2E75B6"/>
          <w:sz w:val="26"/>
          <w:szCs w:val="26"/>
        </w:rPr>
        <w:t xml:space="preserve">2.1 Source et description</w:t>
      </w:r>
    </w:p>
    <w:p>
      <w:pPr>
        <w:pStyle w:val="ListParagraph"/>
        <w:numPr>
          <w:ilvl w:val="0"/>
          <w:numId w:val="2"/>
        </w:numPr>
        <w:spacing w:after="60" w:line="264"/>
      </w:pPr>
      <w:r>
        <w:rPr>
          <w:rFonts w:ascii="Calibri" w:cs="Calibri" w:eastAsia="Calibri" w:hAnsi="Calibri"/>
          <w:b/>
          <w:bCs/>
          <w:sz w:val="22"/>
          <w:szCs w:val="22"/>
        </w:rPr>
        <w:t xml:space="preserve">Source :</w:t>
      </w:r>
      <w:r>
        <w:rPr>
          <w:rFonts w:ascii="Calibri" w:cs="Calibri" w:eastAsia="Calibri" w:hAnsi="Calibri"/>
          <w:sz w:val="22"/>
          <w:szCs w:val="22"/>
        </w:rPr>
        <w:t xml:space="preserve"> Yahoo Finance (finance.yahoo.com), tickers KO et PEP, via la bibliothèque Python yfinance, fréquence journalière.</w:t>
      </w:r>
    </w:p>
    <w:p>
      <w:pPr>
        <w:pStyle w:val="ListParagraph"/>
        <w:numPr>
          <w:ilvl w:val="0"/>
          <w:numId w:val="2"/>
        </w:numPr>
        <w:spacing w:after="60" w:line="264"/>
      </w:pPr>
      <w:r>
        <w:rPr>
          <w:rFonts w:ascii="Calibri" w:cs="Calibri" w:eastAsia="Calibri" w:hAnsi="Calibri"/>
          <w:b/>
          <w:bCs/>
          <w:sz w:val="22"/>
          <w:szCs w:val="22"/>
        </w:rPr>
        <w:t xml:space="preserve">Période :</w:t>
      </w:r>
      <w:r>
        <w:rPr>
          <w:rFonts w:ascii="Calibri" w:cs="Calibri" w:eastAsia="Calibri" w:hAnsi="Calibri"/>
          <w:sz w:val="22"/>
          <w:szCs w:val="22"/>
        </w:rPr>
        <w:t xml:space="preserve"> du 2 janvier 2019 au 31 décembre 2024, soit </w:t>
      </w:r>
      <w:r>
        <w:rPr>
          <w:rFonts w:ascii="Calibri" w:cs="Calibri" w:eastAsia="Calibri" w:hAnsi="Calibri"/>
          <w:b/>
          <w:bCs/>
          <w:sz w:val="22"/>
          <w:szCs w:val="22"/>
        </w:rPr>
        <w:t xml:space="preserve">1 510 séances</w:t>
      </w:r>
      <w:r>
        <w:rPr>
          <w:rFonts w:ascii="Calibri" w:cs="Calibri" w:eastAsia="Calibri" w:hAnsi="Calibri"/>
          <w:sz w:val="22"/>
          <w:szCs w:val="22"/>
        </w:rPr>
        <w:t xml:space="preserve"> (6 ans, au-dessus du minimum de 5 ans demandé).</w:t>
      </w:r>
    </w:p>
    <w:p>
      <w:pPr>
        <w:pStyle w:val="ListParagraph"/>
        <w:numPr>
          <w:ilvl w:val="0"/>
          <w:numId w:val="2"/>
        </w:numPr>
        <w:spacing w:after="60" w:line="264"/>
      </w:pPr>
      <w:r>
        <w:rPr>
          <w:rFonts w:ascii="Calibri" w:cs="Calibri" w:eastAsia="Calibri" w:hAnsi="Calibri"/>
          <w:b/>
          <w:bCs/>
          <w:sz w:val="22"/>
          <w:szCs w:val="22"/>
        </w:rPr>
        <w:t xml:space="preserve">Variables brutes :</w:t>
      </w:r>
      <w:r>
        <w:rPr>
          <w:rFonts w:ascii="Calibri" w:cs="Calibri" w:eastAsia="Calibri" w:hAnsi="Calibri"/>
          <w:sz w:val="22"/>
          <w:szCs w:val="22"/>
        </w:rPr>
        <w:t xml:space="preserve"> Open, High, Low, Close, Adj Close, Volume pour chaque actif (vecteur multidimensionnel de 12 colonnes).</w:t>
      </w:r>
    </w:p>
    <w:p>
      <w:pPr>
        <w:pStyle w:val="ListParagraph"/>
        <w:numPr>
          <w:ilvl w:val="0"/>
          <w:numId w:val="2"/>
        </w:numPr>
        <w:spacing w:after="60" w:line="264"/>
      </w:pPr>
      <w:r>
        <w:rPr>
          <w:rFonts w:ascii="Calibri" w:cs="Calibri" w:eastAsia="Calibri" w:hAnsi="Calibri"/>
          <w:b/>
          <w:bCs/>
          <w:sz w:val="22"/>
          <w:szCs w:val="22"/>
        </w:rPr>
        <w:t xml:space="preserve">Transformation déjà appliquée par le fournisseur :</w:t>
      </w:r>
      <w:r>
        <w:rPr>
          <w:rFonts w:ascii="Calibri" w:cs="Calibri" w:eastAsia="Calibri" w:hAnsi="Calibri"/>
          <w:sz w:val="22"/>
          <w:szCs w:val="22"/>
        </w:rPr>
        <w:t xml:space="preserve"> « Adj Close » est ajusté des dividendes et des splits, alors que « Close » ne l'est que des splits. Nous modélisons log(Adj Close), qui correspond au rendement total ; les rendements sont donc nets de l'effet mécanique des détachements de dividendes.</w:t>
      </w:r>
    </w:p>
    <w:p>
      <w:pPr>
        <w:pStyle w:val="ListParagraph"/>
        <w:numPr>
          <w:ilvl w:val="0"/>
          <w:numId w:val="2"/>
        </w:numPr>
        <w:spacing w:after="60" w:line="264"/>
      </w:pPr>
      <w:r>
        <w:rPr>
          <w:rFonts w:ascii="Calibri" w:cs="Calibri" w:eastAsia="Calibri" w:hAnsi="Calibri"/>
          <w:b/>
          <w:bCs/>
          <w:sz w:val="22"/>
          <w:szCs w:val="22"/>
        </w:rPr>
        <w:t xml:space="preserve">Indicateurs dérivés :</w:t>
      </w:r>
      <w:r>
        <w:rPr>
          <w:rFonts w:ascii="Calibri" w:cs="Calibri" w:eastAsia="Calibri" w:hAnsi="Calibri"/>
          <w:sz w:val="22"/>
          <w:szCs w:val="22"/>
        </w:rPr>
        <w:t xml:space="preserve"> rendement logarithmique, moyenne mobile 20 jours, volatilité réalisée sur 21 jours (annualisée).</w:t>
      </w:r>
    </w:p>
    <w:p>
      <w:pPr>
        <w:pStyle w:val="Heading2"/>
        <w:keepNext/>
        <w:spacing w:after="100" w:before="240"/>
      </w:pPr>
      <w:r>
        <w:rPr>
          <w:rFonts w:ascii="Calibri" w:cs="Calibri" w:eastAsia="Calibri" w:hAnsi="Calibri"/>
          <w:b/>
          <w:bCs/>
          <w:color w:val="2E75B6"/>
          <w:sz w:val="26"/>
          <w:szCs w:val="26"/>
        </w:rPr>
        <w:t xml:space="preserve">2.2 Série temporelle native et découpage chronologique</w:t>
      </w:r>
    </w:p>
    <w:p>
      <w:pPr>
        <w:spacing w:after="120" w:line="276"/>
        <w:jc w:val="both"/>
      </w:pPr>
      <w:r>
        <w:rPr>
          <w:rFonts w:ascii="Calibri" w:cs="Calibri" w:eastAsia="Calibri" w:hAnsi="Calibri"/>
          <w:sz w:val="22"/>
          <w:szCs w:val="22"/>
        </w:rPr>
        <w:t xml:space="preserve">Les données sont converties en séries pandas avec un DatetimeIndex trié (fréquence « jours de bourse », sans comblement artificiel des week-ends). Le découpage est strictement chronologique : </w:t>
      </w:r>
      <w:r>
        <w:rPr>
          <w:rFonts w:ascii="Calibri" w:cs="Calibri" w:eastAsia="Calibri" w:hAnsi="Calibri"/>
          <w:b/>
          <w:bCs/>
          <w:sz w:val="22"/>
          <w:szCs w:val="22"/>
        </w:rPr>
        <w:t xml:space="preserve">1 359 séances pour l'apprentissage (90 %)</w:t>
      </w:r>
      <w:r>
        <w:rPr>
          <w:rFonts w:ascii="Calibri" w:cs="Calibri" w:eastAsia="Calibri" w:hAnsi="Calibri"/>
          <w:sz w:val="22"/>
          <w:szCs w:val="22"/>
        </w:rPr>
        <w:t xml:space="preserve"> et </w:t>
      </w:r>
      <w:r>
        <w:rPr>
          <w:rFonts w:ascii="Calibri" w:cs="Calibri" w:eastAsia="Calibri" w:hAnsi="Calibri"/>
          <w:b/>
          <w:bCs/>
          <w:sz w:val="22"/>
          <w:szCs w:val="22"/>
        </w:rPr>
        <w:t xml:space="preserve">151 pour le test (10 %)</w:t>
      </w:r>
      <w:r>
        <w:rPr>
          <w:rFonts w:ascii="Calibri" w:cs="Calibri" w:eastAsia="Calibri" w:hAnsi="Calibri"/>
          <w:sz w:val="22"/>
          <w:szCs w:val="22"/>
        </w:rPr>
        <w:t xml:space="preserve">, soit environ fin mai à fin décembre 2024. Aucune donnée du test n'intervient dans l'estimation, la sélection d'ordres ou la normalisation. La prévision est évaluée sur 15 blocs consécutifs et non chevauchants de 10 séances (origines glissantes), chaque bloc étant prévu avec les seules informations antérieures à son origine.</w:t>
      </w:r>
    </w:p>
    <w:p>
      <w:pPr>
        <w:keepNext/>
        <w:spacing w:after="80" w:before="120"/>
      </w:pPr>
      <w:r>
        <w:rPr>
          <w:rFonts w:ascii="Calibri" w:cs="Calibri" w:eastAsia="Calibri" w:hAnsi="Calibri"/>
          <w:i/>
          <w:iCs/>
          <w:color w:val="595959"/>
          <w:sz w:val="18"/>
          <w:szCs w:val="18"/>
        </w:rPr>
        <w:t xml:space="preserve">Tableau 1 — Statistiques descriptives des rendements logarithmiques (apprentissage)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3119"/>
        <w:gridCol w:w="3119"/>
      </w:tblGrid>
      <w:tr>
        <w:trPr>
          <w:tblHeader/>
        </w:trPr>
        <w:tc>
          <w:tcPr>
            <w:tcW w:type="dxa" w:w="34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jc w:val="center"/>
            </w:pPr>
            <w:r>
              <w:rPr>
                <w:rFonts w:ascii="Calibri" w:cs="Calibri" w:eastAsia="Calibri" w:hAnsi="Calibri"/>
                <w:b/>
                <w:bCs/>
                <w:color w:val="FFFFFF"/>
                <w:sz w:val="17"/>
                <w:szCs w:val="17"/>
              </w:rPr>
              <w:t xml:space="preserve">Statistique</w:t>
            </w:r>
          </w:p>
        </w:tc>
        <w:tc>
          <w:tcPr>
            <w:tcW w:type="dxa" w:w="3119"/>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jc w:val="center"/>
            </w:pPr>
            <w:r>
              <w:rPr>
                <w:rFonts w:ascii="Calibri" w:cs="Calibri" w:eastAsia="Calibri" w:hAnsi="Calibri"/>
                <w:b/>
                <w:bCs/>
                <w:color w:val="FFFFFF"/>
                <w:sz w:val="17"/>
                <w:szCs w:val="17"/>
              </w:rPr>
              <w:t xml:space="preserve">ret_KO</w:t>
            </w:r>
          </w:p>
        </w:tc>
        <w:tc>
          <w:tcPr>
            <w:tcW w:type="dxa" w:w="3119"/>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jc w:val="center"/>
            </w:pPr>
            <w:r>
              <w:rPr>
                <w:rFonts w:ascii="Calibri" w:cs="Calibri" w:eastAsia="Calibri" w:hAnsi="Calibri"/>
                <w:b/>
                <w:bCs/>
                <w:color w:val="FFFFFF"/>
                <w:sz w:val="17"/>
                <w:szCs w:val="17"/>
              </w:rPr>
              <w:t xml:space="preserve">ret_PEP</w:t>
            </w:r>
          </w:p>
        </w:tc>
      </w:tr>
      <w:tr>
        <w:trPr>
          <w:cantSplit/>
        </w:trPr>
        <w:tc>
          <w:tcPr>
            <w:tcW w:type="dxa" w:w="34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7"/>
                <w:szCs w:val="17"/>
              </w:rPr>
              <w:t xml:space="preserve">moyenne</w:t>
            </w:r>
          </w:p>
        </w:tc>
        <w:tc>
          <w:tcPr>
            <w:tcW w:type="dxa" w:w="3119"/>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7"/>
                <w:szCs w:val="17"/>
              </w:rPr>
              <w:t xml:space="preserve">0,00033</w:t>
            </w:r>
          </w:p>
        </w:tc>
        <w:tc>
          <w:tcPr>
            <w:tcW w:type="dxa" w:w="3119"/>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7"/>
                <w:szCs w:val="17"/>
              </w:rPr>
              <w:t xml:space="preserve">0,00047</w:t>
            </w:r>
          </w:p>
        </w:tc>
      </w:tr>
      <w:tr>
        <w:trPr>
          <w:cantSplit/>
        </w:trPr>
        <w:tc>
          <w:tcPr>
            <w:tcW w:type="dxa" w:w="34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7"/>
                <w:szCs w:val="17"/>
              </w:rPr>
              <w:t xml:space="preserve">variance</w:t>
            </w:r>
          </w:p>
        </w:tc>
        <w:tc>
          <w:tcPr>
            <w:tcW w:type="dxa" w:w="3119"/>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7"/>
                <w:szCs w:val="17"/>
              </w:rPr>
              <w:t xml:space="preserve">0,00017</w:t>
            </w:r>
          </w:p>
        </w:tc>
        <w:tc>
          <w:tcPr>
            <w:tcW w:type="dxa" w:w="3119"/>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7"/>
                <w:szCs w:val="17"/>
              </w:rPr>
              <w:t xml:space="preserve">0,00018</w:t>
            </w:r>
          </w:p>
        </w:tc>
      </w:tr>
      <w:tr>
        <w:trPr>
          <w:cantSplit/>
        </w:trPr>
        <w:tc>
          <w:tcPr>
            <w:tcW w:type="dxa" w:w="34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7"/>
                <w:szCs w:val="17"/>
              </w:rPr>
              <w:t xml:space="preserve">ecart_type</w:t>
            </w:r>
          </w:p>
        </w:tc>
        <w:tc>
          <w:tcPr>
            <w:tcW w:type="dxa" w:w="3119"/>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7"/>
                <w:szCs w:val="17"/>
              </w:rPr>
              <w:t xml:space="preserve">0,01318</w:t>
            </w:r>
          </w:p>
        </w:tc>
        <w:tc>
          <w:tcPr>
            <w:tcW w:type="dxa" w:w="3119"/>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7"/>
                <w:szCs w:val="17"/>
              </w:rPr>
              <w:t xml:space="preserve">0,01349</w:t>
            </w:r>
          </w:p>
        </w:tc>
      </w:tr>
      <w:tr>
        <w:trPr>
          <w:cantSplit/>
        </w:trPr>
        <w:tc>
          <w:tcPr>
            <w:tcW w:type="dxa" w:w="34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7"/>
                <w:szCs w:val="17"/>
              </w:rPr>
              <w:t xml:space="preserve">skewness</w:t>
            </w:r>
          </w:p>
        </w:tc>
        <w:tc>
          <w:tcPr>
            <w:tcW w:type="dxa" w:w="3119"/>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7"/>
                <w:szCs w:val="17"/>
              </w:rPr>
              <w:t xml:space="preserve">-0,95020</w:t>
            </w:r>
          </w:p>
        </w:tc>
        <w:tc>
          <w:tcPr>
            <w:tcW w:type="dxa" w:w="3119"/>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7"/>
                <w:szCs w:val="17"/>
              </w:rPr>
              <w:t xml:space="preserve">-0,64697</w:t>
            </w:r>
          </w:p>
        </w:tc>
      </w:tr>
      <w:tr>
        <w:trPr>
          <w:cantSplit/>
        </w:trPr>
        <w:tc>
          <w:tcPr>
            <w:tcW w:type="dxa" w:w="34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7"/>
                <w:szCs w:val="17"/>
              </w:rPr>
              <w:t xml:space="preserve">kurtosis_excess</w:t>
            </w:r>
          </w:p>
        </w:tc>
        <w:tc>
          <w:tcPr>
            <w:tcW w:type="dxa" w:w="3119"/>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7"/>
                <w:szCs w:val="17"/>
              </w:rPr>
              <w:t xml:space="preserve">10,06613</w:t>
            </w:r>
          </w:p>
        </w:tc>
        <w:tc>
          <w:tcPr>
            <w:tcW w:type="dxa" w:w="3119"/>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7"/>
                <w:szCs w:val="17"/>
              </w:rPr>
              <w:t xml:space="preserve">22,49589</w:t>
            </w:r>
          </w:p>
        </w:tc>
      </w:tr>
      <w:tr>
        <w:trPr>
          <w:cantSplit/>
        </w:trPr>
        <w:tc>
          <w:tcPr>
            <w:tcW w:type="dxa" w:w="34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7"/>
                <w:szCs w:val="17"/>
              </w:rPr>
              <w:t xml:space="preserve">min</w:t>
            </w:r>
          </w:p>
        </w:tc>
        <w:tc>
          <w:tcPr>
            <w:tcW w:type="dxa" w:w="3119"/>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7"/>
                <w:szCs w:val="17"/>
              </w:rPr>
              <w:t xml:space="preserve">-0,10173</w:t>
            </w:r>
          </w:p>
        </w:tc>
        <w:tc>
          <w:tcPr>
            <w:tcW w:type="dxa" w:w="3119"/>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7"/>
                <w:szCs w:val="17"/>
              </w:rPr>
              <w:t xml:space="preserve">-0,12136</w:t>
            </w:r>
          </w:p>
        </w:tc>
      </w:tr>
      <w:tr>
        <w:trPr>
          <w:cantSplit/>
        </w:trPr>
        <w:tc>
          <w:tcPr>
            <w:tcW w:type="dxa" w:w="34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7"/>
                <w:szCs w:val="17"/>
              </w:rPr>
              <w:t xml:space="preserve">max</w:t>
            </w:r>
          </w:p>
        </w:tc>
        <w:tc>
          <w:tcPr>
            <w:tcW w:type="dxa" w:w="3119"/>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7"/>
                <w:szCs w:val="17"/>
              </w:rPr>
              <w:t xml:space="preserve">0,06278</w:t>
            </w:r>
          </w:p>
        </w:tc>
        <w:tc>
          <w:tcPr>
            <w:tcW w:type="dxa" w:w="3119"/>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7"/>
                <w:szCs w:val="17"/>
              </w:rPr>
              <w:t xml:space="preserve">0,12166</w:t>
            </w:r>
          </w:p>
        </w:tc>
      </w:tr>
      <w:tr>
        <w:trPr>
          <w:cantSplit/>
        </w:trPr>
        <w:tc>
          <w:tcPr>
            <w:tcW w:type="dxa" w:w="34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7"/>
                <w:szCs w:val="17"/>
              </w:rPr>
              <w:t xml:space="preserve">JB_p</w:t>
            </w:r>
          </w:p>
        </w:tc>
        <w:tc>
          <w:tcPr>
            <w:tcW w:type="dxa" w:w="3119"/>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7"/>
                <w:szCs w:val="17"/>
              </w:rPr>
              <w:t xml:space="preserve">0,00000</w:t>
            </w:r>
          </w:p>
        </w:tc>
        <w:tc>
          <w:tcPr>
            <w:tcW w:type="dxa" w:w="3119"/>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7"/>
                <w:szCs w:val="17"/>
              </w:rPr>
              <w:t xml:space="preserve">0,00000</w:t>
            </w:r>
          </w:p>
        </w:tc>
      </w:tr>
    </w:tbl>
    <w:p>
      <w:pPr>
        <w:spacing w:after="80"/>
      </w:pPr>
    </w:p>
    <w:p>
      <w:pPr>
        <w:spacing w:after="120" w:line="276"/>
        <w:jc w:val="both"/>
      </w:pPr>
      <w:r>
        <w:rPr>
          <w:rFonts w:ascii="Calibri" w:cs="Calibri" w:eastAsia="Calibri" w:hAnsi="Calibri"/>
          <w:sz w:val="22"/>
          <w:szCs w:val="22"/>
        </w:rPr>
        <w:t xml:space="preserve">Les rendements ont une moyenne proche de zéro et un écart-type d'environ 1,3 % par jour. Leur distribution est </w:t>
      </w:r>
      <w:r>
        <w:rPr>
          <w:rFonts w:ascii="Calibri" w:cs="Calibri" w:eastAsia="Calibri" w:hAnsi="Calibri"/>
          <w:b/>
          <w:bCs/>
          <w:sz w:val="22"/>
          <w:szCs w:val="22"/>
        </w:rPr>
        <w:t xml:space="preserve">asymétrique à gauche</w:t>
      </w:r>
      <w:r>
        <w:rPr>
          <w:rFonts w:ascii="Calibri" w:cs="Calibri" w:eastAsia="Calibri" w:hAnsi="Calibri"/>
          <w:sz w:val="22"/>
          <w:szCs w:val="22"/>
        </w:rPr>
        <w:t xml:space="preserve"> (skewness −0,95 et −0,65) et à </w:t>
      </w:r>
      <w:r>
        <w:rPr>
          <w:rFonts w:ascii="Calibri" w:cs="Calibri" w:eastAsia="Calibri" w:hAnsi="Calibri"/>
          <w:b/>
          <w:bCs/>
          <w:sz w:val="22"/>
          <w:szCs w:val="22"/>
        </w:rPr>
        <w:t xml:space="preserve">queues très épaisses</w:t>
      </w:r>
      <w:r>
        <w:rPr>
          <w:rFonts w:ascii="Calibri" w:cs="Calibri" w:eastAsia="Calibri" w:hAnsi="Calibri"/>
          <w:sz w:val="22"/>
          <w:szCs w:val="22"/>
        </w:rPr>
        <w:t xml:space="preserve"> (kurtosis excédentaire 10,1 pour KO et 22,5 pour PEP, contre 0 pour une loi normale) : le test de Jarque-Bera rejette la normalité. Ces deux faits annoncent la nécessité d'une loi de Student et d'un modèle de volatilité conditionnelle.</w:t>
      </w:r>
    </w:p>
    <w:p>
      <w:pPr>
        <w:pStyle w:val="Heading1"/>
        <w:keepNext/>
        <w:spacing w:after="160" w:before="360"/>
      </w:pPr>
      <w:r>
        <w:rPr>
          <w:rFonts w:ascii="Calibri" w:cs="Calibri" w:eastAsia="Calibri" w:hAnsi="Calibri"/>
          <w:b/>
          <w:bCs/>
          <w:color w:val="1F3864"/>
          <w:sz w:val="32"/>
          <w:szCs w:val="32"/>
        </w:rPr>
        <w:t xml:space="preserve">3. Analyse exploratoire</w:t>
      </w:r>
    </w:p>
    <w:p>
      <w:pPr>
        <w:pStyle w:val="Heading2"/>
        <w:keepNext/>
        <w:spacing w:after="100" w:before="240"/>
      </w:pPr>
      <w:r>
        <w:rPr>
          <w:rFonts w:ascii="Calibri" w:cs="Calibri" w:eastAsia="Calibri" w:hAnsi="Calibri"/>
          <w:b/>
          <w:bCs/>
          <w:color w:val="2E75B6"/>
          <w:sz w:val="26"/>
          <w:szCs w:val="26"/>
        </w:rPr>
        <w:t xml:space="preserve">3.1 Visualisation des séries</w:t>
      </w:r>
    </w:p>
    <w:p>
      <w:pPr>
        <w:keepNext/>
        <w:spacing w:before="120"/>
        <w:jc w:val="center"/>
      </w:pPr>
      <w:r>
        <w:drawing>
          <wp:inline distT="0" distB="0" distL="0" distR="0">
            <wp:extent cx="5334000" cy="3390900"/>
            <wp:effectExtent t="0" r="0" b="0" l="0"/>
            <wp:docPr id="1" name="fig01_prix.png" descr="Figure 1 — Prix ajustés de KO et PEP (haut) et prix rebasés à 100 (bas)" title="Figure 1 — Prix ajustés de KO et PEP (haut) et prix rebasés à 100 (b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390900"/>
                    </a:xfrm>
                    <a:prstGeom prst="rect">
                      <a:avLst/>
                    </a:prstGeom>
                  </pic:spPr>
                </pic:pic>
              </a:graphicData>
            </a:graphic>
          </wp:inline>
        </w:drawing>
      </w:r>
    </w:p>
    <w:p>
      <w:pPr>
        <w:spacing w:after="200" w:before="60"/>
        <w:jc w:val="center"/>
      </w:pPr>
      <w:r>
        <w:rPr>
          <w:rFonts w:ascii="Calibri" w:cs="Calibri" w:eastAsia="Calibri" w:hAnsi="Calibri"/>
          <w:i/>
          <w:iCs/>
          <w:color w:val="595959"/>
          <w:sz w:val="18"/>
          <w:szCs w:val="18"/>
        </w:rPr>
        <w:t xml:space="preserve">Figure 1 — Prix ajustés de KO et PEP (haut) et prix rebasés à 100 (bas)</w:t>
      </w:r>
    </w:p>
    <w:p>
      <w:pPr>
        <w:spacing w:after="120" w:line="276"/>
        <w:jc w:val="both"/>
      </w:pPr>
      <w:r>
        <w:rPr>
          <w:rFonts w:ascii="Calibri" w:cs="Calibri" w:eastAsia="Calibri" w:hAnsi="Calibri"/>
          <w:sz w:val="22"/>
          <w:szCs w:val="22"/>
        </w:rPr>
        <w:t xml:space="preserve">Les deux séries suivent des trajectoires proches : creux commun en mars 2020 (KO atteint son minimum de 30,9 $ le 23 mars 2020), reprise, puis plateau et hausse jusqu'à un maximum de KO de 68,6 $ en septembre 2024. La corrélation des log-prix est de 0,93 et celle des rendements de 0,75. La tendance de fond rend les niveaux non stationnaires ; la rupture de mars 2020 est visible sur les deux actifs et sera retrouvée dans la volatilité.</w:t>
      </w:r>
    </w:p>
    <w:p>
      <w:pPr>
        <w:keepNext/>
        <w:spacing w:before="120"/>
        <w:jc w:val="center"/>
      </w:pPr>
      <w:r>
        <w:drawing>
          <wp:inline distT="0" distB="0" distL="0" distR="0">
            <wp:extent cx="5143500" cy="4210050"/>
            <wp:effectExtent t="0" r="0" b="0" l="0"/>
            <wp:docPr id="1" name="fig02_indicateurs.png" descr="Figure 2 — Indicateurs dérivés : moyenne mobile 20 j, rendements logarithmiques, volatilité réalisée 21 j" title="Figure 2 — Indicateurs dérivés : moyenne mobile 20 j, rendements logarithmiques, volatilité réalisée 21 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4210050"/>
                    </a:xfrm>
                    <a:prstGeom prst="rect">
                      <a:avLst/>
                    </a:prstGeom>
                  </pic:spPr>
                </pic:pic>
              </a:graphicData>
            </a:graphic>
          </wp:inline>
        </w:drawing>
      </w:r>
    </w:p>
    <w:p>
      <w:pPr>
        <w:spacing w:after="200" w:before="60"/>
        <w:jc w:val="center"/>
      </w:pPr>
      <w:r>
        <w:rPr>
          <w:rFonts w:ascii="Calibri" w:cs="Calibri" w:eastAsia="Calibri" w:hAnsi="Calibri"/>
          <w:i/>
          <w:iCs/>
          <w:color w:val="595959"/>
          <w:sz w:val="18"/>
          <w:szCs w:val="18"/>
        </w:rPr>
        <w:t xml:space="preserve">Figure 2 — Indicateurs dérivés : moyenne mobile 20 j, rendements logarithmiques, volatilité réalisée 21 j</w:t>
      </w:r>
    </w:p>
    <w:p>
      <w:pPr>
        <w:spacing w:after="120" w:line="276"/>
        <w:jc w:val="both"/>
      </w:pPr>
      <w:r>
        <w:rPr>
          <w:rFonts w:ascii="Calibri" w:cs="Calibri" w:eastAsia="Calibri" w:hAnsi="Calibri"/>
          <w:sz w:val="22"/>
          <w:szCs w:val="22"/>
        </w:rPr>
        <w:t xml:space="preserve">Les rendements oscillent autour de zéro sans tendance (signe de stationnarité) mais forment des </w:t>
      </w:r>
      <w:r>
        <w:rPr>
          <w:rFonts w:ascii="Calibri" w:cs="Calibri" w:eastAsia="Calibri" w:hAnsi="Calibri"/>
          <w:b/>
          <w:bCs/>
          <w:sz w:val="22"/>
          <w:szCs w:val="22"/>
        </w:rPr>
        <w:t xml:space="preserve">grappes</w:t>
      </w:r>
      <w:r>
        <w:rPr>
          <w:rFonts w:ascii="Calibri" w:cs="Calibri" w:eastAsia="Calibri" w:hAnsi="Calibri"/>
          <w:sz w:val="22"/>
          <w:szCs w:val="22"/>
        </w:rPr>
        <w:t xml:space="preserve"> : des périodes agitées (mars 2020) suivies de périodes calmes. C'est la signature visuelle de l'hétéroscédasticité conditionnelle, que la volatilité réalisée à 21 jours rend lisible.</w:t>
      </w:r>
    </w:p>
    <w:p>
      <w:pPr>
        <w:pStyle w:val="Heading2"/>
        <w:keepNext/>
        <w:spacing w:after="100" w:before="240"/>
      </w:pPr>
      <w:r>
        <w:rPr>
          <w:rFonts w:ascii="Calibri" w:cs="Calibri" w:eastAsia="Calibri" w:hAnsi="Calibri"/>
          <w:b/>
          <w:bCs/>
          <w:color w:val="2E75B6"/>
          <w:sz w:val="26"/>
          <w:szCs w:val="26"/>
        </w:rPr>
        <w:t xml:space="preserve">3.2 ACF et PACF</w:t>
      </w:r>
    </w:p>
    <w:p>
      <w:pPr>
        <w:keepNext/>
        <w:spacing w:before="120"/>
        <w:jc w:val="center"/>
      </w:pPr>
      <w:r>
        <w:drawing>
          <wp:inline distT="0" distB="0" distL="0" distR="0">
            <wp:extent cx="5715000" cy="1905000"/>
            <wp:effectExtent t="0" r="0" b="0" l="0"/>
            <wp:docPr id="1" name="fig03_acf_pacf_niveau.png" descr="Figure 3 — ACF/PACF de log(KO), série brute" title="Figure 3 — ACF/PACF de log(KO), série bru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1905000"/>
                    </a:xfrm>
                    <a:prstGeom prst="rect">
                      <a:avLst/>
                    </a:prstGeom>
                  </pic:spPr>
                </pic:pic>
              </a:graphicData>
            </a:graphic>
          </wp:inline>
        </w:drawing>
      </w:r>
    </w:p>
    <w:p>
      <w:pPr>
        <w:spacing w:after="200" w:before="60"/>
        <w:jc w:val="center"/>
      </w:pPr>
      <w:r>
        <w:rPr>
          <w:rFonts w:ascii="Calibri" w:cs="Calibri" w:eastAsia="Calibri" w:hAnsi="Calibri"/>
          <w:i/>
          <w:iCs/>
          <w:color w:val="595959"/>
          <w:sz w:val="18"/>
          <w:szCs w:val="18"/>
        </w:rPr>
        <w:t xml:space="preserve">Figure 3 — ACF/PACF de log(KO), série brute</w:t>
      </w:r>
    </w:p>
    <w:p>
      <w:pPr>
        <w:spacing w:after="120" w:line="276"/>
        <w:jc w:val="both"/>
      </w:pPr>
      <w:r>
        <w:rPr>
          <w:rFonts w:ascii="Calibri" w:cs="Calibri" w:eastAsia="Calibri" w:hAnsi="Calibri"/>
          <w:sz w:val="22"/>
          <w:szCs w:val="22"/>
        </w:rPr>
        <w:t xml:space="preserve">Sur la série brute, l'ACF décroît très lentement et la PACF est dominée par le premier retard : c'est le profil d'une </w:t>
      </w:r>
      <w:r>
        <w:rPr>
          <w:rFonts w:ascii="Calibri" w:cs="Calibri" w:eastAsia="Calibri" w:hAnsi="Calibri"/>
          <w:b/>
          <w:bCs/>
          <w:sz w:val="22"/>
          <w:szCs w:val="22"/>
        </w:rPr>
        <w:t xml:space="preserve">racine unitaire</w:t>
      </w:r>
      <w:r>
        <w:rPr>
          <w:rFonts w:ascii="Calibri" w:cs="Calibri" w:eastAsia="Calibri" w:hAnsi="Calibri"/>
          <w:sz w:val="22"/>
          <w:szCs w:val="22"/>
        </w:rPr>
        <w:t xml:space="preserve">. La série doit être différenciée avant toute modélisation ARMA.</w:t>
      </w:r>
    </w:p>
    <w:p>
      <w:pPr>
        <w:keepNext/>
        <w:spacing w:before="120"/>
        <w:jc w:val="center"/>
      </w:pPr>
      <w:r>
        <w:drawing>
          <wp:inline distT="0" distB="0" distL="0" distR="0">
            <wp:extent cx="5715000" cy="1905000"/>
            <wp:effectExtent t="0" r="0" b="0" l="0"/>
            <wp:docPr id="1" name="fig04_acf_pacf_diff.png" descr="Figure 4 — ACF/PACF de Δlog(KO) (rendements)" title="Figure 4 — ACF/PACF de Δlog(KO) (rende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1905000"/>
                    </a:xfrm>
                    <a:prstGeom prst="rect">
                      <a:avLst/>
                    </a:prstGeom>
                  </pic:spPr>
                </pic:pic>
              </a:graphicData>
            </a:graphic>
          </wp:inline>
        </w:drawing>
      </w:r>
    </w:p>
    <w:p>
      <w:pPr>
        <w:spacing w:after="200" w:before="60"/>
        <w:jc w:val="center"/>
      </w:pPr>
      <w:r>
        <w:rPr>
          <w:rFonts w:ascii="Calibri" w:cs="Calibri" w:eastAsia="Calibri" w:hAnsi="Calibri"/>
          <w:i/>
          <w:iCs/>
          <w:color w:val="595959"/>
          <w:sz w:val="18"/>
          <w:szCs w:val="18"/>
        </w:rPr>
        <w:t xml:space="preserve">Figure 4 — ACF/PACF de Δlog(KO) (rendements)</w:t>
      </w:r>
    </w:p>
    <w:p>
      <w:pPr>
        <w:spacing w:after="120" w:line="276"/>
        <w:jc w:val="both"/>
      </w:pPr>
      <w:r>
        <w:rPr>
          <w:rFonts w:ascii="Calibri" w:cs="Calibri" w:eastAsia="Calibri" w:hAnsi="Calibri"/>
          <w:sz w:val="22"/>
          <w:szCs w:val="22"/>
        </w:rPr>
        <w:t xml:space="preserve">Après différenciation, les autocorrélations sont faibles (la plus grande vaut environ −0,11 au retard 4), mais plusieurs retards dépassent la bande de ±0,053 : les retards 2 à 7 et 9 pour l'ACF. Deux précautions s'imposent. D'une part, les bandes de Bartlett supposent des innovations i.i.d. ; or les rendements ont une variance conditionnelle variable, ce qui rend ces bandes trop étroites. D'autre part, l'ACF des rendements au carré vaut 0,27 à 0,37 sur les cinq premiers retards, ce qui révèle une forte dépendance dans la variance. L'identification « manuelle » de p et q à partir de ces graphiques est donc fragile : nous la confrontons à une recherche automatique (section 4.1).</w:t>
      </w:r>
    </w:p>
    <w:p>
      <w:pPr>
        <w:pStyle w:val="Heading2"/>
        <w:keepNext/>
        <w:spacing w:after="100" w:before="240"/>
      </w:pPr>
      <w:r>
        <w:rPr>
          <w:rFonts w:ascii="Calibri" w:cs="Calibri" w:eastAsia="Calibri" w:hAnsi="Calibri"/>
          <w:b/>
          <w:bCs/>
          <w:color w:val="2E75B6"/>
          <w:sz w:val="26"/>
          <w:szCs w:val="26"/>
        </w:rPr>
        <w:t xml:space="preserve">3.3 Décomposition STL</w:t>
      </w:r>
    </w:p>
    <w:p>
      <w:pPr>
        <w:keepNext/>
        <w:spacing w:before="120"/>
        <w:jc w:val="center"/>
      </w:pPr>
      <w:r>
        <w:drawing>
          <wp:inline distT="0" distB="0" distL="0" distR="0">
            <wp:extent cx="4953000" cy="3600450"/>
            <wp:effectExtent t="0" r="0" b="0" l="0"/>
            <wp:docPr id="1" name="fig05_stl_KO.png" descr="Figure 5 — Décomposition STL de log(KO) (période 252 jours)" title="Figure 5 — Décomposition STL de log(KO) (période 252 jou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53000" cy="3600450"/>
                    </a:xfrm>
                    <a:prstGeom prst="rect">
                      <a:avLst/>
                    </a:prstGeom>
                  </pic:spPr>
                </pic:pic>
              </a:graphicData>
            </a:graphic>
          </wp:inline>
        </w:drawing>
      </w:r>
    </w:p>
    <w:p>
      <w:pPr>
        <w:spacing w:after="200" w:before="60"/>
        <w:jc w:val="center"/>
      </w:pPr>
      <w:r>
        <w:rPr>
          <w:rFonts w:ascii="Calibri" w:cs="Calibri" w:eastAsia="Calibri" w:hAnsi="Calibri"/>
          <w:i/>
          <w:iCs/>
          <w:color w:val="595959"/>
          <w:sz w:val="18"/>
          <w:szCs w:val="18"/>
        </w:rPr>
        <w:t xml:space="preserve">Figure 5 — Décomposition STL de log(KO) (période 252 jours)</w:t>
      </w:r>
    </w:p>
    <w:p>
      <w:pPr>
        <w:spacing w:after="120" w:line="276"/>
        <w:jc w:val="both"/>
      </w:pPr>
      <w:r>
        <w:rPr>
          <w:rFonts w:ascii="Calibri" w:cs="Calibri" w:eastAsia="Calibri" w:hAnsi="Calibri"/>
          <w:sz w:val="22"/>
          <w:szCs w:val="22"/>
        </w:rPr>
        <w:t xml:space="preserve">La </w:t>
      </w:r>
      <w:r>
        <w:rPr>
          <w:rFonts w:ascii="Calibri" w:cs="Calibri" w:eastAsia="Calibri" w:hAnsi="Calibri"/>
          <w:b/>
          <w:bCs/>
          <w:sz w:val="22"/>
          <w:szCs w:val="22"/>
        </w:rPr>
        <w:t xml:space="preserve">force de la tendance</w:t>
      </w:r>
      <w:r>
        <w:rPr>
          <w:rFonts w:ascii="Calibri" w:cs="Calibri" w:eastAsia="Calibri" w:hAnsi="Calibri"/>
          <w:sz w:val="22"/>
          <w:szCs w:val="22"/>
        </w:rPr>
        <w:t xml:space="preserve"> est de 0,85 : elle porte l'essentiel de la variation. La </w:t>
      </w:r>
      <w:r>
        <w:rPr>
          <w:rFonts w:ascii="Calibri" w:cs="Calibri" w:eastAsia="Calibri" w:hAnsi="Calibri"/>
          <w:b/>
          <w:bCs/>
          <w:sz w:val="22"/>
          <w:szCs w:val="22"/>
        </w:rPr>
        <w:t xml:space="preserve">force de la saisonnalité</w:t>
      </w:r>
      <w:r>
        <w:rPr>
          <w:rFonts w:ascii="Calibri" w:cs="Calibri" w:eastAsia="Calibri" w:hAnsi="Calibri"/>
          <w:sz w:val="22"/>
          <w:szCs w:val="22"/>
        </w:rPr>
        <w:t xml:space="preserve"> est de 0,21, c'est-à-dire modeste, avec une composante d'amplitude minuscule devant la tendance ; il n'y a pas de saisonnalité annuelle exploitable. Le résidu ressemble à du bruit hors des chocs de 2020, dont les pics apparaissent clairement.</w:t>
      </w:r>
    </w:p>
    <w:p>
      <w:pPr>
        <w:pStyle w:val="Heading2"/>
        <w:keepNext/>
        <w:spacing w:after="100" w:before="240"/>
      </w:pPr>
      <w:r>
        <w:rPr>
          <w:rFonts w:ascii="Calibri" w:cs="Calibri" w:eastAsia="Calibri" w:hAnsi="Calibri"/>
          <w:b/>
          <w:bCs/>
          <w:color w:val="2E75B6"/>
          <w:sz w:val="26"/>
          <w:szCs w:val="26"/>
        </w:rPr>
        <w:t xml:space="preserve">3.4 Valeurs aberrantes</w:t>
      </w:r>
    </w:p>
    <w:p>
      <w:pPr>
        <w:keepNext/>
        <w:spacing w:before="120"/>
        <w:jc w:val="center"/>
      </w:pPr>
      <w:r>
        <w:drawing>
          <wp:inline distT="0" distB="0" distL="0" distR="0">
            <wp:extent cx="5715000" cy="1905000"/>
            <wp:effectExtent t="0" r="0" b="0" l="0"/>
            <wp:docPr id="1" name="fig06_outliers.png" descr="Figure 6 — Détection des valeurs aberrantes (règle de l'IQR) sur les rendements" title="Figure 6 — Détection des valeurs aberrantes (règle de l'IQR) sur les rende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1905000"/>
                    </a:xfrm>
                    <a:prstGeom prst="rect">
                      <a:avLst/>
                    </a:prstGeom>
                  </pic:spPr>
                </pic:pic>
              </a:graphicData>
            </a:graphic>
          </wp:inline>
        </w:drawing>
      </w:r>
    </w:p>
    <w:p>
      <w:pPr>
        <w:spacing w:after="200" w:before="60"/>
        <w:jc w:val="center"/>
      </w:pPr>
      <w:r>
        <w:rPr>
          <w:rFonts w:ascii="Calibri" w:cs="Calibri" w:eastAsia="Calibri" w:hAnsi="Calibri"/>
          <w:i/>
          <w:iCs/>
          <w:color w:val="595959"/>
          <w:sz w:val="18"/>
          <w:szCs w:val="18"/>
        </w:rPr>
        <w:t xml:space="preserve">Figure 6 — Détection des valeurs aberrantes (règle de l'IQR) sur les rendements</w:t>
      </w:r>
    </w:p>
    <w:p>
      <w:pPr>
        <w:spacing w:after="120" w:line="276"/>
        <w:jc w:val="both"/>
      </w:pPr>
      <w:r>
        <w:rPr>
          <w:rFonts w:ascii="Calibri" w:cs="Calibri" w:eastAsia="Calibri" w:hAnsi="Calibri"/>
          <w:sz w:val="22"/>
          <w:szCs w:val="22"/>
        </w:rPr>
        <w:t xml:space="preserve">La règle de l'IQR signale 84 rendements aberrants pour KO et 75 pour PEP ; ils sont fortement concentrés en 2020 (52 pour KO), avec les pires séances le 12 mars 2020 (KO −10,2 %, PEP −11,8 %) et le 20 mars 2020. La séance du 14 février 2019 (KO −8,8 % alors que PEP ne perd que 1,3 %) est un choc propre à KO. </w:t>
      </w:r>
      <w:r>
        <w:rPr>
          <w:rFonts w:ascii="Calibri" w:cs="Calibri" w:eastAsia="Calibri" w:hAnsi="Calibri"/>
          <w:b/>
          <w:bCs/>
          <w:sz w:val="22"/>
          <w:szCs w:val="22"/>
        </w:rPr>
        <w:t xml:space="preserve">Traitement retenu : conservation.</w:t>
      </w:r>
      <w:r>
        <w:rPr>
          <w:rFonts w:ascii="Calibri" w:cs="Calibri" w:eastAsia="Calibri" w:hAnsi="Calibri"/>
          <w:sz w:val="22"/>
          <w:szCs w:val="22"/>
        </w:rPr>
        <w:t xml:space="preserve"> Ces observations sont de vrais chocs de marché et non des erreurs de mesure ; les supprimer ou les winsoriser biaiserait la volatilité estimée et fausserait le diagnostic ARCH. Leur effet est géré par le choix d'une loi de Student pour le GARCH.</w:t>
      </w:r>
    </w:p>
    <w:p>
      <w:pPr>
        <w:pStyle w:val="Heading2"/>
        <w:keepNext/>
        <w:spacing w:after="100" w:before="240"/>
      </w:pPr>
      <w:r>
        <w:rPr>
          <w:rFonts w:ascii="Calibri" w:cs="Calibri" w:eastAsia="Calibri" w:hAnsi="Calibri"/>
          <w:b/>
          <w:bCs/>
          <w:color w:val="2E75B6"/>
          <w:sz w:val="26"/>
          <w:szCs w:val="26"/>
        </w:rPr>
        <w:t xml:space="preserve">3.5 Tests de stationnarité (ADF et KPSS)</w:t>
      </w:r>
    </w:p>
    <w:p>
      <w:pPr>
        <w:keepNext/>
        <w:spacing w:after="80" w:before="120"/>
      </w:pPr>
      <w:r>
        <w:rPr>
          <w:rFonts w:ascii="Calibri" w:cs="Calibri" w:eastAsia="Calibri" w:hAnsi="Calibri"/>
          <w:i/>
          <w:iCs/>
          <w:color w:val="595959"/>
          <w:sz w:val="18"/>
          <w:szCs w:val="18"/>
        </w:rPr>
        <w:t xml:space="preserve">Tableau 2 — Stationnarité (ADF : H0 = racine unitaire ; KPSS : H0 = stationnarité)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1600"/>
        <w:gridCol w:w="1900"/>
        <w:gridCol w:w="4438"/>
      </w:tblGrid>
      <w:tr>
        <w:trPr>
          <w:tblHeader/>
        </w:trPr>
        <w:tc>
          <w:tcPr>
            <w:tcW w:type="dxa" w:w="17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jc w:val="center"/>
            </w:pPr>
            <w:r>
              <w:rPr>
                <w:rFonts w:ascii="Calibri" w:cs="Calibri" w:eastAsia="Calibri" w:hAnsi="Calibri"/>
                <w:b/>
                <w:bCs/>
                <w:color w:val="FFFFFF"/>
                <w:sz w:val="17"/>
                <w:szCs w:val="17"/>
              </w:rPr>
              <w:t xml:space="preserve">Série</w:t>
            </w:r>
          </w:p>
        </w:tc>
        <w:tc>
          <w:tcPr>
            <w:tcW w:type="dxa" w:w="16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jc w:val="center"/>
            </w:pPr>
            <w:r>
              <w:rPr>
                <w:rFonts w:ascii="Calibri" w:cs="Calibri" w:eastAsia="Calibri" w:hAnsi="Calibri"/>
                <w:b/>
                <w:bCs/>
                <w:color w:val="FFFFFF"/>
                <w:sz w:val="17"/>
                <w:szCs w:val="17"/>
              </w:rPr>
              <w:t xml:space="preserve">ADF p</w:t>
            </w:r>
          </w:p>
        </w:tc>
        <w:tc>
          <w:tcPr>
            <w:tcW w:type="dxa" w:w="19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jc w:val="center"/>
            </w:pPr>
            <w:r>
              <w:rPr>
                <w:rFonts w:ascii="Calibri" w:cs="Calibri" w:eastAsia="Calibri" w:hAnsi="Calibri"/>
                <w:b/>
                <w:bCs/>
                <w:color w:val="FFFFFF"/>
                <w:sz w:val="17"/>
                <w:szCs w:val="17"/>
              </w:rPr>
              <w:t xml:space="preserve">KPSS p</w:t>
            </w:r>
          </w:p>
        </w:tc>
        <w:tc>
          <w:tcPr>
            <w:tcW w:type="dxa" w:w="4438"/>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jc w:val="center"/>
            </w:pPr>
            <w:r>
              <w:rPr>
                <w:rFonts w:ascii="Calibri" w:cs="Calibri" w:eastAsia="Calibri" w:hAnsi="Calibri"/>
                <w:b/>
                <w:bCs/>
                <w:color w:val="FFFFFF"/>
                <w:sz w:val="17"/>
                <w:szCs w:val="17"/>
              </w:rPr>
              <w:t xml:space="preserve">Conclusion</w:t>
            </w:r>
          </w:p>
        </w:tc>
      </w:tr>
      <w:tr>
        <w:trPr>
          <w:cantSplit/>
        </w:trPr>
        <w:tc>
          <w:tcPr>
            <w:tcW w:type="dxa" w:w="17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7"/>
                <w:szCs w:val="17"/>
              </w:rPr>
              <w:t xml:space="preserve">log_KO</w:t>
            </w:r>
          </w:p>
        </w:tc>
        <w:tc>
          <w:tcPr>
            <w:tcW w:type="dxa" w:w="16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7"/>
                <w:szCs w:val="17"/>
              </w:rPr>
              <w:t xml:space="preserve">0,4291</w:t>
            </w:r>
          </w:p>
        </w:tc>
        <w:tc>
          <w:tcPr>
            <w:tcW w:type="dxa" w:w="1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7"/>
                <w:szCs w:val="17"/>
              </w:rPr>
              <w:t xml:space="preserve">0,01 (≤)</w:t>
            </w:r>
          </w:p>
        </w:tc>
        <w:tc>
          <w:tcPr>
            <w:tcW w:type="dxa" w:w="443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7"/>
                <w:szCs w:val="17"/>
              </w:rPr>
              <w:t xml:space="preserve">NON stationnaire (racine unitaire)</w:t>
            </w:r>
          </w:p>
        </w:tc>
      </w:tr>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7"/>
                <w:szCs w:val="17"/>
              </w:rPr>
              <w:t xml:space="preserve">log_PEP</w:t>
            </w:r>
          </w:p>
        </w:tc>
        <w:tc>
          <w:tcPr>
            <w:tcW w:type="dxa" w:w="16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7"/>
                <w:szCs w:val="17"/>
              </w:rPr>
              <w:t xml:space="preserve">0,2782</w:t>
            </w:r>
          </w:p>
        </w:tc>
        <w:tc>
          <w:tcPr>
            <w:tcW w:type="dxa" w:w="19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7"/>
                <w:szCs w:val="17"/>
              </w:rPr>
              <w:t xml:space="preserve">0,01 (≤)</w:t>
            </w:r>
          </w:p>
        </w:tc>
        <w:tc>
          <w:tcPr>
            <w:tcW w:type="dxa" w:w="443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7"/>
                <w:szCs w:val="17"/>
              </w:rPr>
              <w:t xml:space="preserve">NON stationnaire (racine unitaire)</w:t>
            </w:r>
          </w:p>
        </w:tc>
      </w:tr>
      <w:tr>
        <w:trPr>
          <w:cantSplit/>
        </w:trPr>
        <w:tc>
          <w:tcPr>
            <w:tcW w:type="dxa" w:w="17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7"/>
                <w:szCs w:val="17"/>
              </w:rPr>
              <w:t xml:space="preserve">ret_KO</w:t>
            </w:r>
          </w:p>
        </w:tc>
        <w:tc>
          <w:tcPr>
            <w:tcW w:type="dxa" w:w="16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7"/>
                <w:szCs w:val="17"/>
              </w:rPr>
              <w:t xml:space="preserve">&lt; 0,0001</w:t>
            </w:r>
          </w:p>
        </w:tc>
        <w:tc>
          <w:tcPr>
            <w:tcW w:type="dxa" w:w="1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7"/>
                <w:szCs w:val="17"/>
              </w:rPr>
              <w:t xml:space="preserve">0,10 (≥)</w:t>
            </w:r>
          </w:p>
        </w:tc>
        <w:tc>
          <w:tcPr>
            <w:tcW w:type="dxa" w:w="443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7"/>
                <w:szCs w:val="17"/>
              </w:rPr>
              <w:t xml:space="preserve">stationnaire</w:t>
            </w:r>
          </w:p>
        </w:tc>
      </w:tr>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7"/>
                <w:szCs w:val="17"/>
              </w:rPr>
              <w:t xml:space="preserve">ret_PEP</w:t>
            </w:r>
          </w:p>
        </w:tc>
        <w:tc>
          <w:tcPr>
            <w:tcW w:type="dxa" w:w="16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7"/>
                <w:szCs w:val="17"/>
              </w:rPr>
              <w:t xml:space="preserve">&lt; 0,0001</w:t>
            </w:r>
          </w:p>
        </w:tc>
        <w:tc>
          <w:tcPr>
            <w:tcW w:type="dxa" w:w="19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7"/>
                <w:szCs w:val="17"/>
              </w:rPr>
              <w:t xml:space="preserve">0,10 (≥)</w:t>
            </w:r>
          </w:p>
        </w:tc>
        <w:tc>
          <w:tcPr>
            <w:tcW w:type="dxa" w:w="443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7"/>
                <w:szCs w:val="17"/>
              </w:rPr>
              <w:t xml:space="preserve">stationnaire</w:t>
            </w:r>
          </w:p>
        </w:tc>
      </w:tr>
    </w:tbl>
    <w:p>
      <w:pPr>
        <w:spacing w:after="80"/>
      </w:pPr>
    </w:p>
    <w:p>
      <w:pPr>
        <w:spacing w:after="120" w:line="276"/>
        <w:jc w:val="both"/>
      </w:pPr>
      <w:r>
        <w:rPr>
          <w:rFonts w:ascii="Calibri" w:cs="Calibri" w:eastAsia="Calibri" w:hAnsi="Calibri"/>
          <w:sz w:val="22"/>
          <w:szCs w:val="22"/>
        </w:rPr>
        <w:t xml:space="preserve">Pour les log-prix, l'ADF ne rejette pas la racine unitaire (p = 0,43 et 0,28) et le KPSS rejette la stationnarité (p ≤ 0,01) : les deux tests, aux hypothèses nulles opposées, concordent. Pour les rendements, l'ADF rejette la racine unitaire (p ≈ 0) et le KPSS ne rejette pas la stationnarité (p ≥ 0,10). </w:t>
      </w:r>
      <w:r>
        <w:rPr>
          <w:rFonts w:ascii="Calibri" w:cs="Calibri" w:eastAsia="Calibri" w:hAnsi="Calibri"/>
          <w:b/>
          <w:bCs/>
          <w:sz w:val="22"/>
          <w:szCs w:val="22"/>
        </w:rPr>
        <w:t xml:space="preserve">Conclusion : log(KO) et log(PEP) sont I(1) ; l'ordre de différenciation est d = 1.</w:t>
      </w:r>
      <w:r>
        <w:rPr>
          <w:rFonts w:ascii="Calibri" w:cs="Calibri" w:eastAsia="Calibri" w:hAnsi="Calibri"/>
          <w:sz w:val="22"/>
          <w:szCs w:val="22"/>
        </w:rPr>
        <w:t xml:space="preserve"> Une réserve est discutée en section 7 : l'ADF de R, qui inclut par défaut une tendance déterministe, donne une p-value plus faible (0,028) sur le niveau ; le KPSS et l'absence de tendance économique plaident toutefois pour d = 1.</w:t>
      </w:r>
    </w:p>
    <w:p>
      <w:pPr>
        <w:pStyle w:val="Heading1"/>
        <w:keepNext/>
        <w:spacing w:after="160" w:before="360"/>
      </w:pPr>
      <w:r>
        <w:rPr>
          <w:rFonts w:ascii="Calibri" w:cs="Calibri" w:eastAsia="Calibri" w:hAnsi="Calibri"/>
          <w:b/>
          <w:bCs/>
          <w:color w:val="1F3864"/>
          <w:sz w:val="32"/>
          <w:szCs w:val="32"/>
        </w:rPr>
        <w:t xml:space="preserve">4. Modélisation classique</w:t>
      </w:r>
    </w:p>
    <w:p>
      <w:pPr>
        <w:pStyle w:val="Heading2"/>
        <w:keepNext/>
        <w:spacing w:after="100" w:before="240"/>
      </w:pPr>
      <w:r>
        <w:rPr>
          <w:rFonts w:ascii="Calibri" w:cs="Calibri" w:eastAsia="Calibri" w:hAnsi="Calibri"/>
          <w:b/>
          <w:bCs/>
          <w:color w:val="2E75B6"/>
          <w:sz w:val="26"/>
          <w:szCs w:val="26"/>
        </w:rPr>
        <w:t xml:space="preserve">4.1 ARIMA et SARIMA</w:t>
      </w:r>
    </w:p>
    <w:p>
      <w:pPr>
        <w:spacing w:after="120" w:line="276"/>
        <w:jc w:val="both"/>
      </w:pPr>
      <w:r>
        <w:rPr>
          <w:rFonts w:ascii="Calibri" w:cs="Calibri" w:eastAsia="Calibri" w:hAnsi="Calibri"/>
          <w:b/>
          <w:bCs/>
          <w:sz w:val="22"/>
          <w:szCs w:val="22"/>
        </w:rPr>
        <w:t xml:space="preserve">Identification.</w:t>
      </w:r>
      <w:r>
        <w:rPr>
          <w:rFonts w:ascii="Calibri" w:cs="Calibri" w:eastAsia="Calibri" w:hAnsi="Calibri"/>
          <w:sz w:val="22"/>
          <w:szCs w:val="22"/>
        </w:rPr>
        <w:t xml:space="preserve"> Deux approches sont comparées. L'approche manuelle retient le dernier retard significatif de la PACF et de l'ACF parmi les cinq premiers, ce qui conduit à </w:t>
      </w:r>
      <w:r>
        <w:rPr>
          <w:rFonts w:ascii="Calibri" w:cs="Calibri" w:eastAsia="Calibri" w:hAnsi="Calibri"/>
          <w:b/>
          <w:bCs/>
          <w:sz w:val="22"/>
          <w:szCs w:val="22"/>
        </w:rPr>
        <w:t xml:space="preserve">ARIMA(5,1,5)</w:t>
      </w:r>
      <w:r>
        <w:rPr>
          <w:rFonts w:ascii="Calibri" w:cs="Calibri" w:eastAsia="Calibri" w:hAnsi="Calibri"/>
          <w:sz w:val="22"/>
          <w:szCs w:val="22"/>
        </w:rPr>
        <w:t xml:space="preserve"> : l'ordre atteint la borne de recherche, signe que l'ACF/PACF seule ne permet pas de trancher. La recherche automatique (critère AIC) retient </w:t>
      </w:r>
      <w:r>
        <w:rPr>
          <w:rFonts w:ascii="Calibri" w:cs="Calibri" w:eastAsia="Calibri" w:hAnsi="Calibri"/>
          <w:b/>
          <w:bCs/>
          <w:sz w:val="22"/>
          <w:szCs w:val="22"/>
        </w:rPr>
        <w:t xml:space="preserve">ARIMA(1,1,4)</w:t>
      </w:r>
      <w:r>
        <w:rPr>
          <w:rFonts w:ascii="Calibri" w:cs="Calibri" w:eastAsia="Calibri" w:hAnsi="Calibri"/>
          <w:sz w:val="22"/>
          <w:szCs w:val="22"/>
        </w:rPr>
        <w:t xml:space="preserve">, plus parcimonieux. Pour SARIMA, nous testons une période saisonnière de 5 jours (semaine de bourse) : le modèle sélectionné a une partie saisonnière nulle, il est donc identique à l'ARIMA(1,1,4). C'est cohérent avec la force de saisonnalité de 0,21 (section 3.3) : </w:t>
      </w:r>
      <w:r>
        <w:rPr>
          <w:rFonts w:ascii="Calibri" w:cs="Calibri" w:eastAsia="Calibri" w:hAnsi="Calibri"/>
          <w:b/>
          <w:bCs/>
          <w:sz w:val="22"/>
          <w:szCs w:val="22"/>
        </w:rPr>
        <w:t xml:space="preserve">il n'y a pas de saisonnalité à modéliser, et nous ne prétendons pas que SARIMA apporte quelque chose</w:t>
      </w:r>
      <w:r>
        <w:rPr>
          <w:rFonts w:ascii="Calibri" w:cs="Calibri" w:eastAsia="Calibri" w:hAnsi="Calibri"/>
          <w:sz w:val="22"/>
          <w:szCs w:val="22"/>
        </w:rPr>
        <w:t xml:space="preserve">.</w:t>
      </w:r>
    </w:p>
    <w:p>
      <w:pPr>
        <w:keepNext/>
        <w:spacing w:after="80" w:before="120"/>
      </w:pPr>
      <w:r>
        <w:rPr>
          <w:rFonts w:ascii="Calibri" w:cs="Calibri" w:eastAsia="Calibri" w:hAnsi="Calibri"/>
          <w:i/>
          <w:iCs/>
          <w:color w:val="595959"/>
          <w:sz w:val="18"/>
          <w:szCs w:val="18"/>
        </w:rPr>
        <w:t xml:space="preserve">Tableau 3 — Diagnostic de résidus des modèles ARIMA/SARIMA (échantillon d'apprentissage)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0"/>
        <w:gridCol w:w="1500"/>
        <w:gridCol w:w="900"/>
        <w:gridCol w:w="900"/>
        <w:gridCol w:w="900"/>
        <w:gridCol w:w="900"/>
        <w:gridCol w:w="780"/>
        <w:gridCol w:w="1000"/>
        <w:gridCol w:w="750"/>
        <w:gridCol w:w="758"/>
      </w:tblGrid>
      <w:tr>
        <w:trPr>
          <w:tblHeader/>
        </w:trPr>
        <w:tc>
          <w:tcPr>
            <w:tcW w:type="dxa" w:w="125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jc w:val="center"/>
            </w:pPr>
            <w:r>
              <w:rPr>
                <w:rFonts w:ascii="Calibri" w:cs="Calibri" w:eastAsia="Calibri" w:hAnsi="Calibri"/>
                <w:b/>
                <w:bCs/>
                <w:color w:val="FFFFFF"/>
                <w:sz w:val="15"/>
                <w:szCs w:val="15"/>
              </w:rPr>
              <w:t xml:space="preserve">Modèle</w:t>
            </w:r>
          </w:p>
        </w:tc>
        <w:tc>
          <w:tcPr>
            <w:tcW w:type="dxa" w:w="15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jc w:val="center"/>
            </w:pPr>
            <w:r>
              <w:rPr>
                <w:rFonts w:ascii="Calibri" w:cs="Calibri" w:eastAsia="Calibri" w:hAnsi="Calibri"/>
                <w:b/>
                <w:bCs/>
                <w:color w:val="FFFFFF"/>
                <w:sz w:val="15"/>
                <w:szCs w:val="15"/>
              </w:rPr>
              <w:t xml:space="preserve">Ordre</w:t>
            </w:r>
          </w:p>
        </w:tc>
        <w:tc>
          <w:tcPr>
            <w:tcW w:type="dxa" w:w="9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jc w:val="center"/>
            </w:pPr>
            <w:r>
              <w:rPr>
                <w:rFonts w:ascii="Calibri" w:cs="Calibri" w:eastAsia="Calibri" w:hAnsi="Calibri"/>
                <w:b/>
                <w:bCs/>
                <w:color w:val="FFFFFF"/>
                <w:sz w:val="15"/>
                <w:szCs w:val="15"/>
              </w:rPr>
              <w:t xml:space="preserve">AIC</w:t>
            </w:r>
          </w:p>
        </w:tc>
        <w:tc>
          <w:tcPr>
            <w:tcW w:type="dxa" w:w="9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jc w:val="center"/>
            </w:pPr>
            <w:r>
              <w:rPr>
                <w:rFonts w:ascii="Calibri" w:cs="Calibri" w:eastAsia="Calibri" w:hAnsi="Calibri"/>
                <w:b/>
                <w:bCs/>
                <w:color w:val="FFFFFF"/>
                <w:sz w:val="15"/>
                <w:szCs w:val="15"/>
              </w:rPr>
              <w:t xml:space="preserve">BIC</w:t>
            </w:r>
          </w:p>
        </w:tc>
        <w:tc>
          <w:tcPr>
            <w:tcW w:type="dxa" w:w="9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jc w:val="center"/>
            </w:pPr>
            <w:r>
              <w:rPr>
                <w:rFonts w:ascii="Calibri" w:cs="Calibri" w:eastAsia="Calibri" w:hAnsi="Calibri"/>
                <w:b/>
                <w:bCs/>
                <w:color w:val="FFFFFF"/>
                <w:sz w:val="15"/>
                <w:szCs w:val="15"/>
              </w:rPr>
              <w:t xml:space="preserve">LB(10) p</w:t>
            </w:r>
          </w:p>
        </w:tc>
        <w:tc>
          <w:tcPr>
            <w:tcW w:type="dxa" w:w="9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jc w:val="center"/>
            </w:pPr>
            <w:r>
              <w:rPr>
                <w:rFonts w:ascii="Calibri" w:cs="Calibri" w:eastAsia="Calibri" w:hAnsi="Calibri"/>
                <w:b/>
                <w:bCs/>
                <w:color w:val="FFFFFF"/>
                <w:sz w:val="15"/>
                <w:szCs w:val="15"/>
              </w:rPr>
              <w:t xml:space="preserve">LB(20) p</w:t>
            </w:r>
          </w:p>
        </w:tc>
        <w:tc>
          <w:tcPr>
            <w:tcW w:type="dxa" w:w="78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jc w:val="center"/>
            </w:pPr>
            <w:r>
              <w:rPr>
                <w:rFonts w:ascii="Calibri" w:cs="Calibri" w:eastAsia="Calibri" w:hAnsi="Calibri"/>
                <w:b/>
                <w:bCs/>
                <w:color w:val="FFFFFF"/>
                <w:sz w:val="15"/>
                <w:szCs w:val="15"/>
              </w:rPr>
              <w:t xml:space="preserve">JB p</w:t>
            </w:r>
          </w:p>
        </w:tc>
        <w:tc>
          <w:tcPr>
            <w:tcW w:type="dxa" w:w="10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jc w:val="center"/>
            </w:pPr>
            <w:r>
              <w:rPr>
                <w:rFonts w:ascii="Calibri" w:cs="Calibri" w:eastAsia="Calibri" w:hAnsi="Calibri"/>
                <w:b/>
                <w:bCs/>
                <w:color w:val="FFFFFF"/>
                <w:sz w:val="15"/>
                <w:szCs w:val="15"/>
              </w:rPr>
              <w:t xml:space="preserve">ARCH p</w:t>
            </w:r>
          </w:p>
        </w:tc>
        <w:tc>
          <w:tcPr>
            <w:tcW w:type="dxa" w:w="75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jc w:val="center"/>
            </w:pPr>
            <w:r>
              <w:rPr>
                <w:rFonts w:ascii="Calibri" w:cs="Calibri" w:eastAsia="Calibri" w:hAnsi="Calibri"/>
                <w:b/>
                <w:bCs/>
                <w:color w:val="FFFFFF"/>
                <w:sz w:val="15"/>
                <w:szCs w:val="15"/>
              </w:rPr>
              <w:t xml:space="preserve">Skew</w:t>
            </w:r>
          </w:p>
        </w:tc>
        <w:tc>
          <w:tcPr>
            <w:tcW w:type="dxa" w:w="758"/>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jc w:val="center"/>
            </w:pPr>
            <w:r>
              <w:rPr>
                <w:rFonts w:ascii="Calibri" w:cs="Calibri" w:eastAsia="Calibri" w:hAnsi="Calibri"/>
                <w:b/>
                <w:bCs/>
                <w:color w:val="FFFFFF"/>
                <w:sz w:val="15"/>
                <w:szCs w:val="15"/>
              </w:rPr>
              <w:t xml:space="preserve">Kurt.</w:t>
            </w:r>
          </w:p>
        </w:tc>
      </w:tr>
      <w:tr>
        <w:trPr>
          <w:cantSplit/>
        </w:trPr>
        <w:tc>
          <w:tcPr>
            <w:tcW w:type="dxa" w:w="12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5"/>
                <w:szCs w:val="15"/>
              </w:rPr>
              <w:t xml:space="preserve">ARIMA_manuel</w:t>
            </w:r>
          </w:p>
        </w:tc>
        <w:tc>
          <w:tcPr>
            <w:tcW w:type="dxa" w:w="1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5"/>
                <w:szCs w:val="15"/>
              </w:rPr>
              <w:t xml:space="preserve">(5, 1, 5)</w:t>
            </w:r>
          </w:p>
        </w:tc>
        <w:tc>
          <w:tcPr>
            <w:tcW w:type="dxa" w:w="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5"/>
                <w:szCs w:val="15"/>
              </w:rPr>
              <w:t xml:space="preserve">-7943,2</w:t>
            </w:r>
          </w:p>
        </w:tc>
        <w:tc>
          <w:tcPr>
            <w:tcW w:type="dxa" w:w="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5"/>
                <w:szCs w:val="15"/>
              </w:rPr>
              <w:t xml:space="preserve">-7885,8</w:t>
            </w:r>
          </w:p>
        </w:tc>
        <w:tc>
          <w:tcPr>
            <w:tcW w:type="dxa" w:w="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5"/>
                <w:szCs w:val="15"/>
              </w:rPr>
              <w:t xml:space="preserve">—</w:t>
            </w:r>
          </w:p>
        </w:tc>
        <w:tc>
          <w:tcPr>
            <w:tcW w:type="dxa" w:w="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5"/>
                <w:szCs w:val="15"/>
              </w:rPr>
              <w:t xml:space="preserve">0,0110</w:t>
            </w:r>
          </w:p>
        </w:tc>
        <w:tc>
          <w:tcPr>
            <w:tcW w:type="dxa" w:w="78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5"/>
                <w:szCs w:val="15"/>
              </w:rPr>
              <w:t xml:space="preserve">&lt; 0,0001</w:t>
            </w:r>
          </w:p>
        </w:tc>
        <w:tc>
          <w:tcPr>
            <w:tcW w:type="dxa" w:w="10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5"/>
                <w:szCs w:val="15"/>
              </w:rPr>
              <w:t xml:space="preserve">&lt; 0,0001</w:t>
            </w:r>
          </w:p>
        </w:tc>
        <w:tc>
          <w:tcPr>
            <w:tcW w:type="dxa" w:w="7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5"/>
                <w:szCs w:val="15"/>
              </w:rPr>
              <w:t xml:space="preserve">-1,05</w:t>
            </w:r>
          </w:p>
        </w:tc>
        <w:tc>
          <w:tcPr>
            <w:tcW w:type="dxa" w:w="75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5"/>
                <w:szCs w:val="15"/>
              </w:rPr>
              <w:t xml:space="preserve">10,0</w:t>
            </w:r>
          </w:p>
        </w:tc>
      </w:tr>
      <w:tr>
        <w:trPr>
          <w:cantSplit/>
        </w:trPr>
        <w:tc>
          <w:tcPr>
            <w:tcW w:type="dxa" w:w="12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5"/>
                <w:szCs w:val="15"/>
              </w:rPr>
              <w:t xml:space="preserve">ARIMA_auto</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5"/>
                <w:szCs w:val="15"/>
              </w:rPr>
              <w:t xml:space="preserve">(1, 1, 4)</w:t>
            </w:r>
          </w:p>
        </w:tc>
        <w:tc>
          <w:tcPr>
            <w:tcW w:type="dxa" w:w="9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5"/>
                <w:szCs w:val="15"/>
              </w:rPr>
              <w:t xml:space="preserve">-7950,4</w:t>
            </w:r>
          </w:p>
        </w:tc>
        <w:tc>
          <w:tcPr>
            <w:tcW w:type="dxa" w:w="9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5"/>
                <w:szCs w:val="15"/>
              </w:rPr>
              <w:t xml:space="preserve">-7919,1</w:t>
            </w:r>
          </w:p>
        </w:tc>
        <w:tc>
          <w:tcPr>
            <w:tcW w:type="dxa" w:w="9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5"/>
                <w:szCs w:val="15"/>
              </w:rPr>
              <w:t xml:space="preserve">0,2250</w:t>
            </w:r>
          </w:p>
        </w:tc>
        <w:tc>
          <w:tcPr>
            <w:tcW w:type="dxa" w:w="9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5"/>
                <w:szCs w:val="15"/>
              </w:rPr>
              <w:t xml:space="preserve">0,0405</w:t>
            </w:r>
          </w:p>
        </w:tc>
        <w:tc>
          <w:tcPr>
            <w:tcW w:type="dxa" w:w="78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5"/>
                <w:szCs w:val="15"/>
              </w:rPr>
              <w:t xml:space="preserve">&lt; 0,0001</w:t>
            </w:r>
          </w:p>
        </w:tc>
        <w:tc>
          <w:tcPr>
            <w:tcW w:type="dxa" w:w="10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5"/>
                <w:szCs w:val="15"/>
              </w:rPr>
              <w:t xml:space="preserve">&lt; 0,0001</w:t>
            </w:r>
          </w:p>
        </w:tc>
        <w:tc>
          <w:tcPr>
            <w:tcW w:type="dxa" w:w="7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5"/>
                <w:szCs w:val="15"/>
              </w:rPr>
              <w:t xml:space="preserve">-1,11</w:t>
            </w:r>
          </w:p>
        </w:tc>
        <w:tc>
          <w:tcPr>
            <w:tcW w:type="dxa" w:w="75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5"/>
                <w:szCs w:val="15"/>
              </w:rPr>
              <w:t xml:space="preserve">10,3</w:t>
            </w:r>
          </w:p>
        </w:tc>
      </w:tr>
      <w:tr>
        <w:trPr>
          <w:cantSplit/>
        </w:trPr>
        <w:tc>
          <w:tcPr>
            <w:tcW w:type="dxa" w:w="12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5"/>
                <w:szCs w:val="15"/>
              </w:rPr>
              <w:t xml:space="preserve">SARIMA</w:t>
            </w:r>
          </w:p>
        </w:tc>
        <w:tc>
          <w:tcPr>
            <w:tcW w:type="dxa" w:w="1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5"/>
                <w:szCs w:val="15"/>
              </w:rPr>
              <w:t xml:space="preserve">(1, 1, 4)(0, 0, 0, 5)</w:t>
            </w:r>
          </w:p>
        </w:tc>
        <w:tc>
          <w:tcPr>
            <w:tcW w:type="dxa" w:w="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5"/>
                <w:szCs w:val="15"/>
              </w:rPr>
              <w:t xml:space="preserve">-7950,4</w:t>
            </w:r>
          </w:p>
        </w:tc>
        <w:tc>
          <w:tcPr>
            <w:tcW w:type="dxa" w:w="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5"/>
                <w:szCs w:val="15"/>
              </w:rPr>
              <w:t xml:space="preserve">-7919,1</w:t>
            </w:r>
          </w:p>
        </w:tc>
        <w:tc>
          <w:tcPr>
            <w:tcW w:type="dxa" w:w="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5"/>
                <w:szCs w:val="15"/>
              </w:rPr>
              <w:t xml:space="preserve">0,2250</w:t>
            </w:r>
          </w:p>
        </w:tc>
        <w:tc>
          <w:tcPr>
            <w:tcW w:type="dxa" w:w="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5"/>
                <w:szCs w:val="15"/>
              </w:rPr>
              <w:t xml:space="preserve">0,0405</w:t>
            </w:r>
          </w:p>
        </w:tc>
        <w:tc>
          <w:tcPr>
            <w:tcW w:type="dxa" w:w="78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5"/>
                <w:szCs w:val="15"/>
              </w:rPr>
              <w:t xml:space="preserve">&lt; 0,0001</w:t>
            </w:r>
          </w:p>
        </w:tc>
        <w:tc>
          <w:tcPr>
            <w:tcW w:type="dxa" w:w="10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5"/>
                <w:szCs w:val="15"/>
              </w:rPr>
              <w:t xml:space="preserve">&lt; 0,0001</w:t>
            </w:r>
          </w:p>
        </w:tc>
        <w:tc>
          <w:tcPr>
            <w:tcW w:type="dxa" w:w="7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5"/>
                <w:szCs w:val="15"/>
              </w:rPr>
              <w:t xml:space="preserve">-1,11</w:t>
            </w:r>
          </w:p>
        </w:tc>
        <w:tc>
          <w:tcPr>
            <w:tcW w:type="dxa" w:w="75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5"/>
                <w:szCs w:val="15"/>
              </w:rPr>
              <w:t xml:space="preserve">10,3</w:t>
            </w:r>
          </w:p>
        </w:tc>
      </w:tr>
    </w:tbl>
    <w:p>
      <w:pPr>
        <w:spacing w:after="80"/>
      </w:pPr>
    </w:p>
    <w:p>
      <w:pPr>
        <w:spacing w:after="120" w:line="276"/>
        <w:jc w:val="both"/>
      </w:pPr>
      <w:r>
        <w:rPr>
          <w:rFonts w:ascii="Calibri" w:cs="Calibri" w:eastAsia="Calibri" w:hAnsi="Calibri"/>
          <w:b/>
          <w:bCs/>
          <w:sz w:val="22"/>
          <w:szCs w:val="22"/>
        </w:rPr>
        <w:t xml:space="preserve">Lecture des diagnostics.</w:t>
      </w:r>
      <w:r>
        <w:rPr>
          <w:rFonts w:ascii="Calibri" w:cs="Calibri" w:eastAsia="Calibri" w:hAnsi="Calibri"/>
          <w:sz w:val="22"/>
          <w:szCs w:val="22"/>
        </w:rPr>
        <w:t xml:space="preserve"> (i) *Indépendance* : pour l'ARIMA(1,1,4), le test de Ljung-Box à 10 retards ne rejette pas l'absence d'autocorrélation (p = 0,225) ; à 20 retards, p = 0,040, limite. Pour l'ARIMA(5,1,5), la statistique à 10 retards n'est pas définie (10 paramètres estimés pour 10 retards) et celle à 20 retards donne p = 0,011. (ii) *Normalité* : Jarque-Bera et Shapiro-Wilk rejettent très nettement (p &lt; 10⁻³⁰), avec une asymétrie de −1,1 et une kurtosis excédentaire de 10,3 : les résidus ont des queues épaisses. (iii) *Homoscédasticité* : le test ARCH-LM est rejeté de façon écrasante (p ≈ 10⁻⁶²). Le modèle de moyenne est donc correct pour la dépendance linéaire, mais </w:t>
      </w:r>
      <w:r>
        <w:rPr>
          <w:rFonts w:ascii="Calibri" w:cs="Calibri" w:eastAsia="Calibri" w:hAnsi="Calibri"/>
          <w:b/>
          <w:bCs/>
          <w:sz w:val="22"/>
          <w:szCs w:val="22"/>
        </w:rPr>
        <w:t xml:space="preserve">mal spécifié pour la variance</w:t>
      </w:r>
      <w:r>
        <w:rPr>
          <w:rFonts w:ascii="Calibri" w:cs="Calibri" w:eastAsia="Calibri" w:hAnsi="Calibri"/>
          <w:sz w:val="22"/>
          <w:szCs w:val="22"/>
        </w:rPr>
        <w:t xml:space="preserve"> : ses intervalles de prédiction supposent une variance constante qui n'existe pas. Cet échec motive directement la section 4.4.</w:t>
      </w:r>
    </w:p>
    <w:p>
      <w:pPr>
        <w:keepNext/>
        <w:spacing w:before="120"/>
        <w:jc w:val="center"/>
      </w:pPr>
      <w:r>
        <w:drawing>
          <wp:inline distT="0" distB="0" distL="0" distR="0">
            <wp:extent cx="5143500" cy="3276600"/>
            <wp:effectExtent t="0" r="0" b="0" l="0"/>
            <wp:docPr id="1" name="fig08_resid_ARIMA_auto.png" descr="Figure 7 — Diagnostic graphique des résidus de l'ARIMA(1,1,4) : résidus, ACF, histogramme, QQ-plot" title="Figure 7 — Diagnostic graphique des résidus de l'ARIMA(1,1,4) : résidus, ACF, histogramme, QQ-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143500" cy="3276600"/>
                    </a:xfrm>
                    <a:prstGeom prst="rect">
                      <a:avLst/>
                    </a:prstGeom>
                  </pic:spPr>
                </pic:pic>
              </a:graphicData>
            </a:graphic>
          </wp:inline>
        </w:drawing>
      </w:r>
    </w:p>
    <w:p>
      <w:pPr>
        <w:spacing w:after="200" w:before="60"/>
        <w:jc w:val="center"/>
      </w:pPr>
      <w:r>
        <w:rPr>
          <w:rFonts w:ascii="Calibri" w:cs="Calibri" w:eastAsia="Calibri" w:hAnsi="Calibri"/>
          <w:i/>
          <w:iCs/>
          <w:color w:val="595959"/>
          <w:sz w:val="18"/>
          <w:szCs w:val="18"/>
        </w:rPr>
        <w:t xml:space="preserve">Figure 7 — Diagnostic graphique des résidus de l'ARIMA(1,1,4) : résidus, ACF, histogramme, QQ-plot</w:t>
      </w:r>
    </w:p>
    <w:p>
      <w:pPr>
        <w:keepNext/>
        <w:spacing w:before="120"/>
        <w:jc w:val="center"/>
      </w:pPr>
      <w:r>
        <w:drawing>
          <wp:inline distT="0" distB="0" distL="0" distR="0">
            <wp:extent cx="5334000" cy="2181225"/>
            <wp:effectExtent t="0" r="0" b="0" l="0"/>
            <wp:docPr id="1" name="fig10_prevision_arima.png" descr="Figure 8 — Prévision de l'ARIMA à 10 jours avec intervalle de prédiction" title="Figure 8 — Prévision de l'ARIMA à 10 jours avec intervalle de prédi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2181225"/>
                    </a:xfrm>
                    <a:prstGeom prst="rect">
                      <a:avLst/>
                    </a:prstGeom>
                  </pic:spPr>
                </pic:pic>
              </a:graphicData>
            </a:graphic>
          </wp:inline>
        </w:drawing>
      </w:r>
    </w:p>
    <w:p>
      <w:pPr>
        <w:spacing w:after="200" w:before="60"/>
        <w:jc w:val="center"/>
      </w:pPr>
      <w:r>
        <w:rPr>
          <w:rFonts w:ascii="Calibri" w:cs="Calibri" w:eastAsia="Calibri" w:hAnsi="Calibri"/>
          <w:i/>
          <w:iCs/>
          <w:color w:val="595959"/>
          <w:sz w:val="18"/>
          <w:szCs w:val="18"/>
        </w:rPr>
        <w:t xml:space="preserve">Figure 8 — Prévision de l'ARIMA à 10 jours avec intervalle de prédiction</w:t>
      </w:r>
    </w:p>
    <w:p>
      <w:pPr>
        <w:spacing w:after="120" w:line="276"/>
        <w:jc w:val="both"/>
      </w:pPr>
      <w:r>
        <w:rPr>
          <w:rFonts w:ascii="Calibri" w:cs="Calibri" w:eastAsia="Calibri" w:hAnsi="Calibri"/>
          <w:sz w:val="22"/>
          <w:szCs w:val="22"/>
        </w:rPr>
        <w:t xml:space="preserve">La prévision est quasi plate, avec un intervalle qui s'élargit avec l'horizon, comme pour toute série proche d'une marche aléatoire. Les figures de diagnostic de l'ARIMA(5,1,5) et du SARIMA (fig07 et fig09 du dossier figures/) sont fournies dans le code. </w:t>
      </w:r>
      <w:r>
        <w:rPr>
          <w:rFonts w:ascii="Calibri" w:cs="Calibri" w:eastAsia="Calibri" w:hAnsi="Calibri"/>
          <w:b/>
          <w:bCs/>
          <w:sz w:val="22"/>
          <w:szCs w:val="22"/>
        </w:rPr>
        <w:t xml:space="preserve">Mise en garde :</w:t>
      </w:r>
      <w:r>
        <w:rPr>
          <w:rFonts w:ascii="Calibri" w:cs="Calibri" w:eastAsia="Calibri" w:hAnsi="Calibri"/>
          <w:sz w:val="22"/>
          <w:szCs w:val="22"/>
        </w:rPr>
        <w:t xml:space="preserve"> l'ordre « optimal » dépend de l'implémentation (section 7 : (1,1,4) dans notre exécution, (3,1,3) avec une grille de secours, (4,1,1) avec R) ; les AIC sont quasi plats entre ces candidats et l'ordre exact ne doit pas être sur-interprété.</w:t>
      </w:r>
    </w:p>
    <w:p>
      <w:pPr>
        <w:pStyle w:val="Heading2"/>
        <w:keepNext/>
        <w:spacing w:after="100" w:before="240"/>
      </w:pPr>
      <w:r>
        <w:rPr>
          <w:rFonts w:ascii="Calibri" w:cs="Calibri" w:eastAsia="Calibri" w:hAnsi="Calibri"/>
          <w:b/>
          <w:bCs/>
          <w:color w:val="2E75B6"/>
          <w:sz w:val="26"/>
          <w:szCs w:val="26"/>
        </w:rPr>
        <w:t xml:space="preserve">4.2 VAR et causalité de Granger</w:t>
      </w:r>
    </w:p>
    <w:p>
      <w:pPr>
        <w:spacing w:after="120" w:line="276"/>
        <w:jc w:val="both"/>
      </w:pPr>
      <w:r>
        <w:rPr>
          <w:rFonts w:ascii="Calibri" w:cs="Calibri" w:eastAsia="Calibri" w:hAnsi="Calibri"/>
          <w:sz w:val="22"/>
          <w:szCs w:val="22"/>
        </w:rPr>
        <w:t xml:space="preserve">Le VAR est estimé sur les </w:t>
      </w:r>
      <w:r>
        <w:rPr>
          <w:rFonts w:ascii="Calibri" w:cs="Calibri" w:eastAsia="Calibri" w:hAnsi="Calibri"/>
          <w:b/>
          <w:bCs/>
          <w:sz w:val="22"/>
          <w:szCs w:val="22"/>
        </w:rPr>
        <w:t xml:space="preserve">rendements</w:t>
      </w:r>
      <w:r>
        <w:rPr>
          <w:rFonts w:ascii="Calibri" w:cs="Calibri" w:eastAsia="Calibri" w:hAnsi="Calibri"/>
          <w:sz w:val="22"/>
          <w:szCs w:val="22"/>
        </w:rPr>
        <w:t xml:space="preserve"> de KO et PEP (stationnaires, d = 1), pour éviter la régression fallacieuse. Le critère BIC retient </w:t>
      </w:r>
      <w:r>
        <w:rPr>
          <w:rFonts w:ascii="Calibri" w:cs="Calibri" w:eastAsia="Calibri" w:hAnsi="Calibri"/>
          <w:b/>
          <w:bCs/>
          <w:sz w:val="22"/>
          <w:szCs w:val="22"/>
        </w:rPr>
        <w:t xml:space="preserve">un seul retard</w:t>
      </w:r>
      <w:r>
        <w:rPr>
          <w:rFonts w:ascii="Calibri" w:cs="Calibri" w:eastAsia="Calibri" w:hAnsi="Calibri"/>
          <w:sz w:val="22"/>
          <w:szCs w:val="22"/>
        </w:rPr>
        <w:t xml:space="preserve"> (le critère AIC choisirait un ordre bien plus élevé, 9 à 10, au prix de nombreux paramètres supplémentaires) ; le VAR(1) est stable (racines hors du cercle unité).</w:t>
      </w:r>
    </w:p>
    <w:p>
      <w:pPr>
        <w:pStyle w:val="ListParagraph"/>
        <w:numPr>
          <w:ilvl w:val="0"/>
          <w:numId w:val="2"/>
        </w:numPr>
        <w:spacing w:after="60" w:line="264"/>
      </w:pPr>
      <w:r>
        <w:rPr>
          <w:rFonts w:ascii="Calibri" w:cs="Calibri" w:eastAsia="Calibri" w:hAnsi="Calibri"/>
          <w:b/>
          <w:bCs/>
          <w:sz w:val="22"/>
          <w:szCs w:val="22"/>
        </w:rPr>
        <w:t xml:space="preserve">PEP → KO :</w:t>
      </w:r>
      <w:r>
        <w:rPr>
          <w:rFonts w:ascii="Calibri" w:cs="Calibri" w:eastAsia="Calibri" w:hAnsi="Calibri"/>
          <w:sz w:val="22"/>
          <w:szCs w:val="22"/>
        </w:rPr>
        <w:t xml:space="preserve"> p = 0,014. À 5 %, on rejette l'absence de causalité : les rendements passés de PEP aident à prévoir ceux de KO.</w:t>
      </w:r>
    </w:p>
    <w:p>
      <w:pPr>
        <w:pStyle w:val="ListParagraph"/>
        <w:numPr>
          <w:ilvl w:val="0"/>
          <w:numId w:val="2"/>
        </w:numPr>
        <w:spacing w:after="60" w:line="264"/>
      </w:pPr>
      <w:r>
        <w:rPr>
          <w:rFonts w:ascii="Calibri" w:cs="Calibri" w:eastAsia="Calibri" w:hAnsi="Calibri"/>
          <w:b/>
          <w:bCs/>
          <w:sz w:val="22"/>
          <w:szCs w:val="22"/>
        </w:rPr>
        <w:t xml:space="preserve">KO → PEP :</w:t>
      </w:r>
      <w:r>
        <w:rPr>
          <w:rFonts w:ascii="Calibri" w:cs="Calibri" w:eastAsia="Calibri" w:hAnsi="Calibri"/>
          <w:sz w:val="22"/>
          <w:szCs w:val="22"/>
        </w:rPr>
        <w:t xml:space="preserve"> p = 0,056. Non significatif à 5 % (limite) : la relation est surtout à sens unique, de PEP vers KO.</w:t>
      </w:r>
    </w:p>
    <w:p>
      <w:pPr>
        <w:spacing w:after="120" w:line="276"/>
        <w:jc w:val="both"/>
      </w:pPr>
      <w:r>
        <w:rPr>
          <w:rFonts w:ascii="Calibri" w:cs="Calibri" w:eastAsia="Calibri" w:hAnsi="Calibri"/>
          <w:sz w:val="22"/>
          <w:szCs w:val="22"/>
        </w:rPr>
        <w:t xml:space="preserve">Granger mesure un </w:t>
      </w:r>
      <w:r>
        <w:rPr>
          <w:rFonts w:ascii="Calibri" w:cs="Calibri" w:eastAsia="Calibri" w:hAnsi="Calibri"/>
          <w:b/>
          <w:bCs/>
          <w:sz w:val="22"/>
          <w:szCs w:val="22"/>
        </w:rPr>
        <w:t xml:space="preserve">pouvoir prédictif conditionnel</w:t>
      </w:r>
      <w:r>
        <w:rPr>
          <w:rFonts w:ascii="Calibri" w:cs="Calibri" w:eastAsia="Calibri" w:hAnsi="Calibri"/>
          <w:sz w:val="22"/>
          <w:szCs w:val="22"/>
        </w:rPr>
        <w:t xml:space="preserve">, pas une causalité économique. De plus, la validité du test est entamée par le diagnostic des résidus ci-dessous.</w:t>
      </w:r>
    </w:p>
    <w:p>
      <w:pPr>
        <w:keepNext/>
        <w:spacing w:after="80" w:before="120"/>
      </w:pPr>
      <w:r>
        <w:rPr>
          <w:rFonts w:ascii="Calibri" w:cs="Calibri" w:eastAsia="Calibri" w:hAnsi="Calibri"/>
          <w:i/>
          <w:iCs/>
          <w:color w:val="595959"/>
          <w:sz w:val="18"/>
          <w:szCs w:val="18"/>
        </w:rPr>
        <w:t xml:space="preserve">Tableau 4 — Diagnostic des résidus du VAR(1), par équation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1400"/>
        <w:gridCol w:w="1400"/>
        <w:gridCol w:w="1300"/>
        <w:gridCol w:w="1400"/>
        <w:gridCol w:w="1138"/>
        <w:gridCol w:w="1300"/>
      </w:tblGrid>
      <w:tr>
        <w:trPr>
          <w:tblHeader/>
        </w:trPr>
        <w:tc>
          <w:tcPr>
            <w:tcW w:type="dxa" w:w="17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jc w:val="center"/>
            </w:pPr>
            <w:r>
              <w:rPr>
                <w:rFonts w:ascii="Calibri" w:cs="Calibri" w:eastAsia="Calibri" w:hAnsi="Calibri"/>
                <w:b/>
                <w:bCs/>
                <w:color w:val="FFFFFF"/>
                <w:sz w:val="17"/>
                <w:szCs w:val="17"/>
              </w:rPr>
              <w:t xml:space="preserve">Équation</w:t>
            </w:r>
          </w:p>
        </w:tc>
        <w:tc>
          <w:tcPr>
            <w:tcW w:type="dxa" w:w="14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jc w:val="center"/>
            </w:pPr>
            <w:r>
              <w:rPr>
                <w:rFonts w:ascii="Calibri" w:cs="Calibri" w:eastAsia="Calibri" w:hAnsi="Calibri"/>
                <w:b/>
                <w:bCs/>
                <w:color w:val="FFFFFF"/>
                <w:sz w:val="17"/>
                <w:szCs w:val="17"/>
              </w:rPr>
              <w:t xml:space="preserve">LB(10) p</w:t>
            </w:r>
          </w:p>
        </w:tc>
        <w:tc>
          <w:tcPr>
            <w:tcW w:type="dxa" w:w="14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jc w:val="center"/>
            </w:pPr>
            <w:r>
              <w:rPr>
                <w:rFonts w:ascii="Calibri" w:cs="Calibri" w:eastAsia="Calibri" w:hAnsi="Calibri"/>
                <w:b/>
                <w:bCs/>
                <w:color w:val="FFFFFF"/>
                <w:sz w:val="17"/>
                <w:szCs w:val="17"/>
              </w:rPr>
              <w:t xml:space="preserve">LB(20) p</w:t>
            </w:r>
          </w:p>
        </w:tc>
        <w:tc>
          <w:tcPr>
            <w:tcW w:type="dxa" w:w="13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jc w:val="center"/>
            </w:pPr>
            <w:r>
              <w:rPr>
                <w:rFonts w:ascii="Calibri" w:cs="Calibri" w:eastAsia="Calibri" w:hAnsi="Calibri"/>
                <w:b/>
                <w:bCs/>
                <w:color w:val="FFFFFF"/>
                <w:sz w:val="17"/>
                <w:szCs w:val="17"/>
              </w:rPr>
              <w:t xml:space="preserve">JB p</w:t>
            </w:r>
          </w:p>
        </w:tc>
        <w:tc>
          <w:tcPr>
            <w:tcW w:type="dxa" w:w="14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jc w:val="center"/>
            </w:pPr>
            <w:r>
              <w:rPr>
                <w:rFonts w:ascii="Calibri" w:cs="Calibri" w:eastAsia="Calibri" w:hAnsi="Calibri"/>
                <w:b/>
                <w:bCs/>
                <w:color w:val="FFFFFF"/>
                <w:sz w:val="17"/>
                <w:szCs w:val="17"/>
              </w:rPr>
              <w:t xml:space="preserve">ARCH p</w:t>
            </w:r>
          </w:p>
        </w:tc>
        <w:tc>
          <w:tcPr>
            <w:tcW w:type="dxa" w:w="1138"/>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jc w:val="center"/>
            </w:pPr>
            <w:r>
              <w:rPr>
                <w:rFonts w:ascii="Calibri" w:cs="Calibri" w:eastAsia="Calibri" w:hAnsi="Calibri"/>
                <w:b/>
                <w:bCs/>
                <w:color w:val="FFFFFF"/>
                <w:sz w:val="17"/>
                <w:szCs w:val="17"/>
              </w:rPr>
              <w:t xml:space="preserve">Skew</w:t>
            </w:r>
          </w:p>
        </w:tc>
        <w:tc>
          <w:tcPr>
            <w:tcW w:type="dxa" w:w="13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jc w:val="center"/>
            </w:pPr>
            <w:r>
              <w:rPr>
                <w:rFonts w:ascii="Calibri" w:cs="Calibri" w:eastAsia="Calibri" w:hAnsi="Calibri"/>
                <w:b/>
                <w:bCs/>
                <w:color w:val="FFFFFF"/>
                <w:sz w:val="17"/>
                <w:szCs w:val="17"/>
              </w:rPr>
              <w:t xml:space="preserve">Kurt.</w:t>
            </w:r>
          </w:p>
        </w:tc>
      </w:tr>
      <w:tr>
        <w:trPr>
          <w:cantSplit/>
        </w:trPr>
        <w:tc>
          <w:tcPr>
            <w:tcW w:type="dxa" w:w="17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7"/>
                <w:szCs w:val="17"/>
              </w:rPr>
              <w:t xml:space="preserve">ret_KO</w:t>
            </w:r>
          </w:p>
        </w:tc>
        <w:tc>
          <w:tcPr>
            <w:tcW w:type="dxa" w:w="14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7"/>
                <w:szCs w:val="17"/>
              </w:rPr>
              <w:t xml:space="preserve">&lt; 0,0001</w:t>
            </w:r>
          </w:p>
        </w:tc>
        <w:tc>
          <w:tcPr>
            <w:tcW w:type="dxa" w:w="14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7"/>
                <w:szCs w:val="17"/>
              </w:rPr>
              <w:t xml:space="preserve">&lt; 0,0001</w:t>
            </w:r>
          </w:p>
        </w:tc>
        <w:tc>
          <w:tcPr>
            <w:tcW w:type="dxa" w:w="13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7"/>
                <w:szCs w:val="17"/>
              </w:rPr>
              <w:t xml:space="preserve">&lt; 0,0001</w:t>
            </w:r>
          </w:p>
        </w:tc>
        <w:tc>
          <w:tcPr>
            <w:tcW w:type="dxa" w:w="14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7"/>
                <w:szCs w:val="17"/>
              </w:rPr>
              <w:t xml:space="preserve">&lt; 0,0001</w:t>
            </w:r>
          </w:p>
        </w:tc>
        <w:tc>
          <w:tcPr>
            <w:tcW w:type="dxa" w:w="113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7"/>
                <w:szCs w:val="17"/>
              </w:rPr>
              <w:t xml:space="preserve">-0,96</w:t>
            </w:r>
          </w:p>
        </w:tc>
        <w:tc>
          <w:tcPr>
            <w:tcW w:type="dxa" w:w="13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7"/>
                <w:szCs w:val="17"/>
              </w:rPr>
              <w:t xml:space="preserve">10,2</w:t>
            </w:r>
          </w:p>
        </w:tc>
      </w:tr>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7"/>
                <w:szCs w:val="17"/>
              </w:rPr>
              <w:t xml:space="preserve">ret_PEP</w:t>
            </w:r>
          </w:p>
        </w:tc>
        <w:tc>
          <w:tcPr>
            <w:tcW w:type="dxa" w:w="14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7"/>
                <w:szCs w:val="17"/>
              </w:rPr>
              <w:t xml:space="preserve">&lt; 0,0001</w:t>
            </w:r>
          </w:p>
        </w:tc>
        <w:tc>
          <w:tcPr>
            <w:tcW w:type="dxa" w:w="14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7"/>
                <w:szCs w:val="17"/>
              </w:rPr>
              <w:t xml:space="preserve">&lt; 0,0001</w:t>
            </w:r>
          </w:p>
        </w:tc>
        <w:tc>
          <w:tcPr>
            <w:tcW w:type="dxa" w:w="13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7"/>
                <w:szCs w:val="17"/>
              </w:rPr>
              <w:t xml:space="preserve">&lt; 0,0001</w:t>
            </w:r>
          </w:p>
        </w:tc>
        <w:tc>
          <w:tcPr>
            <w:tcW w:type="dxa" w:w="14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7"/>
                <w:szCs w:val="17"/>
              </w:rPr>
              <w:t xml:space="preserve">&lt; 0,0001</w:t>
            </w:r>
          </w:p>
        </w:tc>
        <w:tc>
          <w:tcPr>
            <w:tcW w:type="dxa" w:w="113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7"/>
                <w:szCs w:val="17"/>
              </w:rPr>
              <w:t xml:space="preserve">-1,06</w:t>
            </w:r>
          </w:p>
        </w:tc>
        <w:tc>
          <w:tcPr>
            <w:tcW w:type="dxa" w:w="13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7"/>
                <w:szCs w:val="17"/>
              </w:rPr>
              <w:t xml:space="preserve">18,8</w:t>
            </w:r>
          </w:p>
        </w:tc>
      </w:tr>
    </w:tbl>
    <w:p>
      <w:pPr>
        <w:spacing w:after="80"/>
      </w:pPr>
    </w:p>
    <w:p>
      <w:pPr>
        <w:spacing w:after="120" w:line="276"/>
        <w:jc w:val="both"/>
      </w:pPr>
      <w:r>
        <w:rPr>
          <w:rFonts w:ascii="Calibri" w:cs="Calibri" w:eastAsia="Calibri" w:hAnsi="Calibri"/>
          <w:sz w:val="22"/>
          <w:szCs w:val="22"/>
        </w:rPr>
        <w:t xml:space="preserve">Le test portemanteau multivarié rejette fortement le bruit blanc (p ≈ 10⁻¹⁸), et chaque équation présente de l'autocorrélation résiduelle, de la non-normalité et des effets ARCH. </w:t>
      </w:r>
      <w:r>
        <w:rPr>
          <w:rFonts w:ascii="Calibri" w:cs="Calibri" w:eastAsia="Calibri" w:hAnsi="Calibri"/>
          <w:b/>
          <w:bCs/>
          <w:sz w:val="22"/>
          <w:szCs w:val="22"/>
        </w:rPr>
        <w:t xml:space="preserve">Le VAR(1) est donc mal spécifié</w:t>
      </w:r>
      <w:r>
        <w:rPr>
          <w:rFonts w:ascii="Calibri" w:cs="Calibri" w:eastAsia="Calibri" w:hAnsi="Calibri"/>
          <w:sz w:val="22"/>
          <w:szCs w:val="22"/>
        </w:rPr>
        <w:t xml:space="preserve"> : le test de Granger (F exact sous variance constante) doit être lu comme un indice et non comme une preuve ; une version robuste à l'hétéroscédasticité ou un ordre plus élevé serait nécessaire pour le confirmer. Nous le signalons comme une limite.</w:t>
      </w:r>
    </w:p>
    <w:p>
      <w:pPr>
        <w:keepNext/>
        <w:spacing w:before="120"/>
        <w:jc w:val="center"/>
      </w:pPr>
      <w:r>
        <w:drawing>
          <wp:inline distT="0" distB="0" distL="0" distR="0">
            <wp:extent cx="4953000" cy="3152775"/>
            <wp:effectExtent t="0" r="0" b="0" l="0"/>
            <wp:docPr id="1" name="fig11_resid_VAR_KO.png" descr="Figure 9 — Diagnostic des résidus du VAR(1), équation KO" title="Figure 9 — Diagnostic des résidus du VAR(1), équation K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953000" cy="3152775"/>
                    </a:xfrm>
                    <a:prstGeom prst="rect">
                      <a:avLst/>
                    </a:prstGeom>
                  </pic:spPr>
                </pic:pic>
              </a:graphicData>
            </a:graphic>
          </wp:inline>
        </w:drawing>
      </w:r>
    </w:p>
    <w:p>
      <w:pPr>
        <w:spacing w:after="200" w:before="60"/>
        <w:jc w:val="center"/>
      </w:pPr>
      <w:r>
        <w:rPr>
          <w:rFonts w:ascii="Calibri" w:cs="Calibri" w:eastAsia="Calibri" w:hAnsi="Calibri"/>
          <w:i/>
          <w:iCs/>
          <w:color w:val="595959"/>
          <w:sz w:val="18"/>
          <w:szCs w:val="18"/>
        </w:rPr>
        <w:t xml:space="preserve">Figure 9 — Diagnostic des résidus du VAR(1), équation KO</w:t>
      </w:r>
    </w:p>
    <w:p>
      <w:pPr>
        <w:pStyle w:val="Heading2"/>
        <w:keepNext/>
        <w:spacing w:after="100" w:before="240"/>
      </w:pPr>
      <w:r>
        <w:rPr>
          <w:rFonts w:ascii="Calibri" w:cs="Calibri" w:eastAsia="Calibri" w:hAnsi="Calibri"/>
          <w:b/>
          <w:bCs/>
          <w:color w:val="2E75B6"/>
          <w:sz w:val="26"/>
          <w:szCs w:val="26"/>
        </w:rPr>
        <w:t xml:space="preserve">4.3 Cointégration et VECM</w:t>
      </w:r>
    </w:p>
    <w:p>
      <w:pPr>
        <w:spacing w:after="120" w:line="276"/>
        <w:jc w:val="both"/>
      </w:pPr>
      <w:r>
        <w:rPr>
          <w:rFonts w:ascii="Calibri" w:cs="Calibri" w:eastAsia="Calibri" w:hAnsi="Calibri"/>
          <w:sz w:val="22"/>
          <w:szCs w:val="22"/>
        </w:rPr>
        <w:t xml:space="preserve">Les log-prix étant I(1), ils peuvent partager une relation d'équilibre de long terme. Le test d'</w:t>
      </w:r>
      <w:r>
        <w:rPr>
          <w:rFonts w:ascii="Calibri" w:cs="Calibri" w:eastAsia="Calibri" w:hAnsi="Calibri"/>
          <w:b/>
          <w:bCs/>
          <w:sz w:val="22"/>
          <w:szCs w:val="22"/>
        </w:rPr>
        <w:t xml:space="preserve">Engle-Granger</w:t>
      </w:r>
      <w:r>
        <w:rPr>
          <w:rFonts w:ascii="Calibri" w:cs="Calibri" w:eastAsia="Calibri" w:hAnsi="Calibri"/>
          <w:sz w:val="22"/>
          <w:szCs w:val="22"/>
        </w:rPr>
        <w:t xml:space="preserve"> (H0 : pas de cointégration) donne p = 0,031 : on rejette H0 à 5 %. Le coefficient de long terme est β ≈ 0,76 par MCO et 0,79 dans le VECM : à long terme, log(KO) ≈ 0,79·log(PEP) + 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2E75B6" w:sz="24"/>
              <w:bottom w:val="single" w:color="BFBFBF" w:sz="4"/>
              <w:right w:val="single" w:color="BFBFBF" w:sz="4"/>
            </w:tcBorders>
            <w:shd w:fill="FFF2CC" w:color="auto" w:val="clear"/>
            <w:tcMar>
              <w:top w:type="dxa" w:w="100"/>
              <w:left w:type="dxa" w:w="160"/>
              <w:bottom w:type="dxa" w:w="100"/>
              <w:right w:type="dxa" w:w="140"/>
            </w:tcMar>
          </w:tcPr>
          <w:p>
            <w:pPr>
              <w:spacing w:after="60"/>
            </w:pPr>
            <w:r>
              <w:rPr>
                <w:rFonts w:ascii="Calibri" w:cs="Calibri" w:eastAsia="Calibri" w:hAnsi="Calibri"/>
                <w:b/>
                <w:bCs/>
                <w:color w:val="1F3864"/>
                <w:sz w:val="22"/>
                <w:szCs w:val="22"/>
              </w:rPr>
              <w:t xml:space="preserve">Point d'attention : le rang de Johansen</w:t>
            </w:r>
          </w:p>
          <w:p>
            <w:pPr>
              <w:spacing w:line="264"/>
            </w:pPr>
            <w:r>
              <w:rPr>
                <w:rFonts w:ascii="Calibri" w:cs="Calibri" w:eastAsia="Calibri" w:hAnsi="Calibri"/>
                <w:sz w:val="22"/>
                <w:szCs w:val="22"/>
              </w:rPr>
              <w:t xml:space="preserve">Dans notre code Python, le test de Johansen (statsmodels, terme constant simple) renvoie un </w:t>
            </w:r>
            <w:r>
              <w:rPr>
                <w:rFonts w:ascii="Calibri" w:cs="Calibri" w:eastAsia="Calibri" w:hAnsi="Calibri"/>
                <w:b/>
                <w:bCs/>
                <w:sz w:val="22"/>
                <w:szCs w:val="22"/>
              </w:rPr>
              <w:t xml:space="preserve">rang r = 2</w:t>
            </w:r>
            <w:r>
              <w:rPr>
                <w:rFonts w:ascii="Calibri" w:cs="Calibri" w:eastAsia="Calibri" w:hAnsi="Calibri"/>
                <w:sz w:val="22"/>
                <w:szCs w:val="22"/>
              </w:rPr>
              <w:t xml:space="preserve">. Avec deux variables, un rang plein signifierait que les log-prix sont stationnaires, ce qui contredit le KPSS. Le résultat est sensible à la spécification : avec det_order = −1 le rang est 1, et le test de R (package urca, constante restreinte) donne aussi </w:t>
            </w:r>
            <w:r>
              <w:rPr>
                <w:rFonts w:ascii="Calibri" w:cs="Calibri" w:eastAsia="Calibri" w:hAnsi="Calibri"/>
                <w:b/>
                <w:bCs/>
                <w:sz w:val="22"/>
                <w:szCs w:val="22"/>
              </w:rPr>
              <w:t xml:space="preserve">r = 1</w:t>
            </w:r>
            <w:r>
              <w:rPr>
                <w:rFonts w:ascii="Calibri" w:cs="Calibri" w:eastAsia="Calibri" w:hAnsi="Calibri"/>
                <w:sz w:val="22"/>
                <w:szCs w:val="22"/>
              </w:rPr>
              <w:t xml:space="preserve"> (statistique 20,2 contre 19,96 critique pour r = 0 ; 7,4 contre 9,2 pour r ≤ 1). Combiné à Engle-Granger (p = 0,031) et à Phillips-Ouliaris (p = 0,019), nous </w:t>
            </w:r>
            <w:r>
              <w:rPr>
                <w:rFonts w:ascii="Calibri" w:cs="Calibri" w:eastAsia="Calibri" w:hAnsi="Calibri"/>
                <w:b/>
                <w:bCs/>
                <w:sz w:val="22"/>
                <w:szCs w:val="22"/>
              </w:rPr>
              <w:t xml:space="preserve">retenons r = 1</w:t>
            </w:r>
            <w:r>
              <w:rPr>
                <w:rFonts w:ascii="Calibri" w:cs="Calibri" w:eastAsia="Calibri" w:hAnsi="Calibri"/>
                <w:sz w:val="22"/>
                <w:szCs w:val="22"/>
              </w:rPr>
              <w:t xml:space="preserve"> et un VECM de rang 1.</w:t>
            </w:r>
          </w:p>
        </w:tc>
      </w:tr>
    </w:tbl>
    <w:p>
      <w:pPr>
        <w:spacing w:after="80"/>
      </w:pPr>
    </w:p>
    <w:p>
      <w:pPr>
        <w:spacing w:after="120" w:line="276"/>
        <w:jc w:val="both"/>
      </w:pPr>
      <w:r>
        <w:rPr>
          <w:rFonts w:ascii="Calibri" w:cs="Calibri" w:eastAsia="Calibri" w:hAnsi="Calibri"/>
          <w:b/>
          <w:bCs/>
          <w:sz w:val="22"/>
          <w:szCs w:val="22"/>
        </w:rPr>
        <w:t xml:space="preserve">VECM.</w:t>
      </w:r>
      <w:r>
        <w:rPr>
          <w:rFonts w:ascii="Calibri" w:cs="Calibri" w:eastAsia="Calibri" w:hAnsi="Calibri"/>
          <w:sz w:val="22"/>
          <w:szCs w:val="22"/>
        </w:rPr>
        <w:t xml:space="preserve"> La vitesse d'ajustement de KO est α_KO = −0,0214 (p = 0,005) : environ </w:t>
      </w:r>
      <w:r>
        <w:rPr>
          <w:rFonts w:ascii="Calibri" w:cs="Calibri" w:eastAsia="Calibri" w:hAnsi="Calibri"/>
          <w:b/>
          <w:bCs/>
          <w:sz w:val="22"/>
          <w:szCs w:val="22"/>
        </w:rPr>
        <w:t xml:space="preserve">2,1 % de l'écart de long terme est corrigé chaque jour par KO</w:t>
      </w:r>
      <w:r>
        <w:rPr>
          <w:rFonts w:ascii="Calibri" w:cs="Calibri" w:eastAsia="Calibri" w:hAnsi="Calibri"/>
          <w:sz w:val="22"/>
          <w:szCs w:val="22"/>
        </w:rPr>
        <w:t xml:space="preserve">, ce qui correspond à une demi-vie d'environ 32 séances. Pour PEP, α_PEP = −0,0049 (p = 0,52) n'est pas significatif : </w:t>
      </w:r>
      <w:r>
        <w:rPr>
          <w:rFonts w:ascii="Calibri" w:cs="Calibri" w:eastAsia="Calibri" w:hAnsi="Calibri"/>
          <w:b/>
          <w:bCs/>
          <w:sz w:val="22"/>
          <w:szCs w:val="22"/>
        </w:rPr>
        <w:t xml:space="preserve">c'est KO qui s'ajuste vers PEP</w:t>
      </w:r>
      <w:r>
        <w:rPr>
          <w:rFonts w:ascii="Calibri" w:cs="Calibri" w:eastAsia="Calibri" w:hAnsi="Calibri"/>
          <w:sz w:val="22"/>
          <w:szCs w:val="22"/>
        </w:rPr>
        <w:t xml:space="preserve">, pas l'inverse. Ce résultat est cohérent avec la causalité de Granger de PEP vers KO.</w:t>
      </w:r>
    </w:p>
    <w:p>
      <w:pPr>
        <w:keepNext/>
        <w:spacing w:before="120"/>
        <w:jc w:val="center"/>
      </w:pPr>
      <w:r>
        <w:drawing>
          <wp:inline distT="0" distB="0" distL="0" distR="0">
            <wp:extent cx="5524500" cy="2009775"/>
            <wp:effectExtent t="0" r="0" b="0" l="0"/>
            <wp:docPr id="1" name="fig12_spread_cointegration.png" descr="Figure 10 — Écart de long terme log(KO) − 0,76·log(PEP) − c ; pointillé rouge : début du test" title="Figure 10 — Écart de long terme log(KO) − 0,76·log(PEP) − c ; pointillé rouge : début du 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524500" cy="2009775"/>
                    </a:xfrm>
                    <a:prstGeom prst="rect">
                      <a:avLst/>
                    </a:prstGeom>
                  </pic:spPr>
                </pic:pic>
              </a:graphicData>
            </a:graphic>
          </wp:inline>
        </w:drawing>
      </w:r>
    </w:p>
    <w:p>
      <w:pPr>
        <w:spacing w:after="200" w:before="60"/>
        <w:jc w:val="center"/>
      </w:pPr>
      <w:r>
        <w:rPr>
          <w:rFonts w:ascii="Calibri" w:cs="Calibri" w:eastAsia="Calibri" w:hAnsi="Calibri"/>
          <w:i/>
          <w:iCs/>
          <w:color w:val="595959"/>
          <w:sz w:val="18"/>
          <w:szCs w:val="18"/>
        </w:rPr>
        <w:t xml:space="preserve">Figure 10 — Écart de long terme log(KO) − 0,76·log(PEP) − c ; pointillé rouge : début du test</w:t>
      </w:r>
    </w:p>
    <w:p>
      <w:pPr>
        <w:spacing w:after="120" w:line="276"/>
        <w:jc w:val="both"/>
      </w:pPr>
      <w:r>
        <w:rPr>
          <w:rFonts w:ascii="Calibri" w:cs="Calibri" w:eastAsia="Calibri" w:hAnsi="Calibri"/>
          <w:sz w:val="22"/>
          <w:szCs w:val="22"/>
        </w:rPr>
        <w:t xml:space="preserve">L'écart oscille autour de zéro avec des excursions persistantes, ce qui est compatible avec une stationnarité lente (demi-vie de plus d'un mois) mais montre aussi que la relation n'est pas parfaitement stable sur six ans. En prévision, le VECM obtient le plus mauvais RMSE (1,513 $, section 6) ; la différence avec la baseline n'est pas significative au seuil de 5 % (p = 0,075). Nous n'avons pas testé la stabilité de β sur des sous-périodes, qui serait une explication possible mais non vérifiée.</w:t>
      </w:r>
    </w:p>
    <w:p>
      <w:pPr>
        <w:pStyle w:val="Heading2"/>
        <w:keepNext/>
        <w:spacing w:after="100" w:before="240"/>
      </w:pPr>
      <w:r>
        <w:rPr>
          <w:rFonts w:ascii="Calibri" w:cs="Calibri" w:eastAsia="Calibri" w:hAnsi="Calibri"/>
          <w:b/>
          <w:bCs/>
          <w:color w:val="2E75B6"/>
          <w:sz w:val="26"/>
          <w:szCs w:val="26"/>
        </w:rPr>
        <w:t xml:space="preserve">4.4 Volatilité conditionnelle : ARCH et GARCH</w:t>
      </w:r>
    </w:p>
    <w:p>
      <w:pPr>
        <w:spacing w:after="120" w:line="276"/>
        <w:jc w:val="both"/>
      </w:pPr>
      <w:r>
        <w:rPr>
          <w:rFonts w:ascii="Calibri" w:cs="Calibri" w:eastAsia="Calibri" w:hAnsi="Calibri"/>
          <w:b/>
          <w:bCs/>
          <w:sz w:val="22"/>
          <w:szCs w:val="22"/>
        </w:rPr>
        <w:t xml:space="preserve">Présence d'effets ARCH.</w:t>
      </w:r>
      <w:r>
        <w:rPr>
          <w:rFonts w:ascii="Calibri" w:cs="Calibri" w:eastAsia="Calibri" w:hAnsi="Calibri"/>
          <w:sz w:val="22"/>
          <w:szCs w:val="22"/>
        </w:rPr>
        <w:t xml:space="preserve"> Le test ARCH-LM est rejeté sur les résidus de l'ARIMA (p ≈ 3·10⁻⁶⁴) et sur les rendements de KO (p ≈ 3·10⁻⁷⁹) : la variance n'est pas constante. Le GARCH est donc justifié par les données, et non appliqué par habitude.</w:t>
      </w:r>
    </w:p>
    <w:p>
      <w:pPr>
        <w:keepNext/>
        <w:spacing w:after="80" w:before="120"/>
      </w:pPr>
      <w:r>
        <w:rPr>
          <w:rFonts w:ascii="Calibri" w:cs="Calibri" w:eastAsia="Calibri" w:hAnsi="Calibri"/>
          <w:i/>
          <w:iCs/>
          <w:color w:val="595959"/>
          <w:sz w:val="18"/>
          <w:szCs w:val="18"/>
        </w:rPr>
        <w:t xml:space="preserve">Tableau 5 — Sélection du modèle de volatilité (rendements de KO en %, apprentissage)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1500"/>
        <w:gridCol w:w="2200"/>
        <w:gridCol w:w="1919"/>
        <w:gridCol w:w="1919"/>
      </w:tblGrid>
      <w:tr>
        <w:trPr>
          <w:tblHeader/>
        </w:trPr>
        <w:tc>
          <w:tcPr>
            <w:tcW w:type="dxa" w:w="21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jc w:val="center"/>
            </w:pPr>
            <w:r>
              <w:rPr>
                <w:rFonts w:ascii="Calibri" w:cs="Calibri" w:eastAsia="Calibri" w:hAnsi="Calibri"/>
                <w:b/>
                <w:bCs/>
                <w:color w:val="FFFFFF"/>
                <w:sz w:val="17"/>
                <w:szCs w:val="17"/>
              </w:rPr>
              <w:t xml:space="preserve">Modèle</w:t>
            </w:r>
          </w:p>
        </w:tc>
        <w:tc>
          <w:tcPr>
            <w:tcW w:type="dxa" w:w="15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jc w:val="center"/>
            </w:pPr>
            <w:r>
              <w:rPr>
                <w:rFonts w:ascii="Calibri" w:cs="Calibri" w:eastAsia="Calibri" w:hAnsi="Calibri"/>
                <w:b/>
                <w:bCs/>
                <w:color w:val="FFFFFF"/>
                <w:sz w:val="17"/>
                <w:szCs w:val="17"/>
              </w:rPr>
              <w:t xml:space="preserve">Loi</w:t>
            </w:r>
          </w:p>
        </w:tc>
        <w:tc>
          <w:tcPr>
            <w:tcW w:type="dxa" w:w="22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jc w:val="center"/>
            </w:pPr>
            <w:r>
              <w:rPr>
                <w:rFonts w:ascii="Calibri" w:cs="Calibri" w:eastAsia="Calibri" w:hAnsi="Calibri"/>
                <w:b/>
                <w:bCs/>
                <w:color w:val="FFFFFF"/>
                <w:sz w:val="17"/>
                <w:szCs w:val="17"/>
              </w:rPr>
              <w:t xml:space="preserve">Log-vraisemblance</w:t>
            </w:r>
          </w:p>
        </w:tc>
        <w:tc>
          <w:tcPr>
            <w:tcW w:type="dxa" w:w="1919"/>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jc w:val="center"/>
            </w:pPr>
            <w:r>
              <w:rPr>
                <w:rFonts w:ascii="Calibri" w:cs="Calibri" w:eastAsia="Calibri" w:hAnsi="Calibri"/>
                <w:b/>
                <w:bCs/>
                <w:color w:val="FFFFFF"/>
                <w:sz w:val="17"/>
                <w:szCs w:val="17"/>
              </w:rPr>
              <w:t xml:space="preserve">AIC</w:t>
            </w:r>
          </w:p>
        </w:tc>
        <w:tc>
          <w:tcPr>
            <w:tcW w:type="dxa" w:w="1919"/>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jc w:val="center"/>
            </w:pPr>
            <w:r>
              <w:rPr>
                <w:rFonts w:ascii="Calibri" w:cs="Calibri" w:eastAsia="Calibri" w:hAnsi="Calibri"/>
                <w:b/>
                <w:bCs/>
                <w:color w:val="FFFFFF"/>
                <w:sz w:val="17"/>
                <w:szCs w:val="17"/>
              </w:rPr>
              <w:t xml:space="preserve">BIC</w:t>
            </w:r>
          </w:p>
        </w:tc>
      </w:tr>
      <w:tr>
        <w:trPr>
          <w:cantSplit/>
        </w:trPr>
        <w:tc>
          <w:tcPr>
            <w:tcW w:type="dxa" w:w="21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7"/>
                <w:szCs w:val="17"/>
              </w:rPr>
              <w:t xml:space="preserve">GARCH(1,1)</w:t>
            </w:r>
          </w:p>
        </w:tc>
        <w:tc>
          <w:tcPr>
            <w:tcW w:type="dxa" w:w="1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7"/>
                <w:szCs w:val="17"/>
              </w:rPr>
              <w:t xml:space="preserve">normal</w:t>
            </w:r>
          </w:p>
        </w:tc>
        <w:tc>
          <w:tcPr>
            <w:tcW w:type="dxa" w:w="22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7"/>
                <w:szCs w:val="17"/>
              </w:rPr>
              <w:t xml:space="preserve">-2089,5</w:t>
            </w:r>
          </w:p>
        </w:tc>
        <w:tc>
          <w:tcPr>
            <w:tcW w:type="dxa" w:w="1919"/>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7"/>
                <w:szCs w:val="17"/>
              </w:rPr>
              <w:t xml:space="preserve">4187,1</w:t>
            </w:r>
          </w:p>
        </w:tc>
        <w:tc>
          <w:tcPr>
            <w:tcW w:type="dxa" w:w="1919"/>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7"/>
                <w:szCs w:val="17"/>
              </w:rPr>
              <w:t xml:space="preserve">4207,9</w:t>
            </w:r>
          </w:p>
        </w:tc>
      </w:tr>
      <w:tr>
        <w:trPr>
          <w:cantSplit/>
        </w:trPr>
        <w:tc>
          <w:tcPr>
            <w:tcW w:type="dxa" w:w="21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7"/>
                <w:szCs w:val="17"/>
              </w:rPr>
              <w:t xml:space="preserve">GARCH(1,1)</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7"/>
                <w:szCs w:val="17"/>
              </w:rPr>
              <w:t xml:space="preserve">t</w:t>
            </w:r>
          </w:p>
        </w:tc>
        <w:tc>
          <w:tcPr>
            <w:tcW w:type="dxa" w:w="22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7"/>
                <w:szCs w:val="17"/>
              </w:rPr>
              <w:t xml:space="preserve">-1957,6</w:t>
            </w:r>
          </w:p>
        </w:tc>
        <w:tc>
          <w:tcPr>
            <w:tcW w:type="dxa" w:w="1919"/>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7"/>
                <w:szCs w:val="17"/>
              </w:rPr>
              <w:t xml:space="preserve">3925,3</w:t>
            </w:r>
          </w:p>
        </w:tc>
        <w:tc>
          <w:tcPr>
            <w:tcW w:type="dxa" w:w="1919"/>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7"/>
                <w:szCs w:val="17"/>
              </w:rPr>
              <w:t xml:space="preserve">3951,3</w:t>
            </w:r>
          </w:p>
        </w:tc>
      </w:tr>
      <w:tr>
        <w:trPr>
          <w:cantSplit/>
        </w:trPr>
        <w:tc>
          <w:tcPr>
            <w:tcW w:type="dxa" w:w="21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7"/>
                <w:szCs w:val="17"/>
              </w:rPr>
              <w:t xml:space="preserve">GARCH(1,2)</w:t>
            </w:r>
          </w:p>
        </w:tc>
        <w:tc>
          <w:tcPr>
            <w:tcW w:type="dxa" w:w="1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7"/>
                <w:szCs w:val="17"/>
              </w:rPr>
              <w:t xml:space="preserve">normal</w:t>
            </w:r>
          </w:p>
        </w:tc>
        <w:tc>
          <w:tcPr>
            <w:tcW w:type="dxa" w:w="22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7"/>
                <w:szCs w:val="17"/>
              </w:rPr>
              <w:t xml:space="preserve">-2089,5</w:t>
            </w:r>
          </w:p>
        </w:tc>
        <w:tc>
          <w:tcPr>
            <w:tcW w:type="dxa" w:w="1919"/>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7"/>
                <w:szCs w:val="17"/>
              </w:rPr>
              <w:t xml:space="preserve">4189,1</w:t>
            </w:r>
          </w:p>
        </w:tc>
        <w:tc>
          <w:tcPr>
            <w:tcW w:type="dxa" w:w="1919"/>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7"/>
                <w:szCs w:val="17"/>
              </w:rPr>
              <w:t xml:space="preserve">4215,2</w:t>
            </w:r>
          </w:p>
        </w:tc>
      </w:tr>
      <w:tr>
        <w:trPr>
          <w:cantSplit/>
        </w:trPr>
        <w:tc>
          <w:tcPr>
            <w:tcW w:type="dxa" w:w="21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7"/>
                <w:szCs w:val="17"/>
              </w:rPr>
              <w:t xml:space="preserve">GARCH(1,2)</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7"/>
                <w:szCs w:val="17"/>
              </w:rPr>
              <w:t xml:space="preserve">t</w:t>
            </w:r>
          </w:p>
        </w:tc>
        <w:tc>
          <w:tcPr>
            <w:tcW w:type="dxa" w:w="22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7"/>
                <w:szCs w:val="17"/>
              </w:rPr>
              <w:t xml:space="preserve">-1957,6</w:t>
            </w:r>
          </w:p>
        </w:tc>
        <w:tc>
          <w:tcPr>
            <w:tcW w:type="dxa" w:w="1919"/>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7"/>
                <w:szCs w:val="17"/>
              </w:rPr>
              <w:t xml:space="preserve">3927,3</w:t>
            </w:r>
          </w:p>
        </w:tc>
        <w:tc>
          <w:tcPr>
            <w:tcW w:type="dxa" w:w="1919"/>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7"/>
                <w:szCs w:val="17"/>
              </w:rPr>
              <w:t xml:space="preserve">3958,6</w:t>
            </w:r>
          </w:p>
        </w:tc>
      </w:tr>
      <w:tr>
        <w:trPr>
          <w:cantSplit/>
        </w:trPr>
        <w:tc>
          <w:tcPr>
            <w:tcW w:type="dxa" w:w="21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7"/>
                <w:szCs w:val="17"/>
              </w:rPr>
              <w:t xml:space="preserve">GARCH(2,1)</w:t>
            </w:r>
          </w:p>
        </w:tc>
        <w:tc>
          <w:tcPr>
            <w:tcW w:type="dxa" w:w="1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7"/>
                <w:szCs w:val="17"/>
              </w:rPr>
              <w:t xml:space="preserve">normal</w:t>
            </w:r>
          </w:p>
        </w:tc>
        <w:tc>
          <w:tcPr>
            <w:tcW w:type="dxa" w:w="22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7"/>
                <w:szCs w:val="17"/>
              </w:rPr>
              <w:t xml:space="preserve">-2087,6</w:t>
            </w:r>
          </w:p>
        </w:tc>
        <w:tc>
          <w:tcPr>
            <w:tcW w:type="dxa" w:w="1919"/>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7"/>
                <w:szCs w:val="17"/>
              </w:rPr>
              <w:t xml:space="preserve">4185,2</w:t>
            </w:r>
          </w:p>
        </w:tc>
        <w:tc>
          <w:tcPr>
            <w:tcW w:type="dxa" w:w="1919"/>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7"/>
                <w:szCs w:val="17"/>
              </w:rPr>
              <w:t xml:space="preserve">4211,3</w:t>
            </w:r>
          </w:p>
        </w:tc>
      </w:tr>
      <w:tr>
        <w:trPr>
          <w:cantSplit/>
        </w:trPr>
        <w:tc>
          <w:tcPr>
            <w:tcW w:type="dxa" w:w="21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7"/>
                <w:szCs w:val="17"/>
              </w:rPr>
              <w:t xml:space="preserve">GARCH(2,1)</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7"/>
                <w:szCs w:val="17"/>
              </w:rPr>
              <w:t xml:space="preserve">t</w:t>
            </w:r>
          </w:p>
        </w:tc>
        <w:tc>
          <w:tcPr>
            <w:tcW w:type="dxa" w:w="22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7"/>
                <w:szCs w:val="17"/>
              </w:rPr>
              <w:t xml:space="preserve">-1957,4</w:t>
            </w:r>
          </w:p>
        </w:tc>
        <w:tc>
          <w:tcPr>
            <w:tcW w:type="dxa" w:w="1919"/>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7"/>
                <w:szCs w:val="17"/>
              </w:rPr>
              <w:t xml:space="preserve">3926,8</w:t>
            </w:r>
          </w:p>
        </w:tc>
        <w:tc>
          <w:tcPr>
            <w:tcW w:type="dxa" w:w="1919"/>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7"/>
                <w:szCs w:val="17"/>
              </w:rPr>
              <w:t xml:space="preserve">3958,1</w:t>
            </w:r>
          </w:p>
        </w:tc>
      </w:tr>
      <w:tr>
        <w:trPr>
          <w:cantSplit/>
        </w:trPr>
        <w:tc>
          <w:tcPr>
            <w:tcW w:type="dxa" w:w="21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7"/>
                <w:szCs w:val="17"/>
              </w:rPr>
              <w:t xml:space="preserve">GARCH(2,2)</w:t>
            </w:r>
          </w:p>
        </w:tc>
        <w:tc>
          <w:tcPr>
            <w:tcW w:type="dxa" w:w="1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7"/>
                <w:szCs w:val="17"/>
              </w:rPr>
              <w:t xml:space="preserve">normal</w:t>
            </w:r>
          </w:p>
        </w:tc>
        <w:tc>
          <w:tcPr>
            <w:tcW w:type="dxa" w:w="22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7"/>
                <w:szCs w:val="17"/>
              </w:rPr>
              <w:t xml:space="preserve">-2086,3</w:t>
            </w:r>
          </w:p>
        </w:tc>
        <w:tc>
          <w:tcPr>
            <w:tcW w:type="dxa" w:w="1919"/>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7"/>
                <w:szCs w:val="17"/>
              </w:rPr>
              <w:t xml:space="preserve">4184,5</w:t>
            </w:r>
          </w:p>
        </w:tc>
        <w:tc>
          <w:tcPr>
            <w:tcW w:type="dxa" w:w="1919"/>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7"/>
                <w:szCs w:val="17"/>
              </w:rPr>
              <w:t xml:space="preserve">4215,8</w:t>
            </w:r>
          </w:p>
        </w:tc>
      </w:tr>
      <w:tr>
        <w:trPr>
          <w:cantSplit/>
        </w:trPr>
        <w:tc>
          <w:tcPr>
            <w:tcW w:type="dxa" w:w="21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7"/>
                <w:szCs w:val="17"/>
              </w:rPr>
              <w:t xml:space="preserve">GARCH(2,2)</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7"/>
                <w:szCs w:val="17"/>
              </w:rPr>
              <w:t xml:space="preserve">t</w:t>
            </w:r>
          </w:p>
        </w:tc>
        <w:tc>
          <w:tcPr>
            <w:tcW w:type="dxa" w:w="22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7"/>
                <w:szCs w:val="17"/>
              </w:rPr>
              <w:t xml:space="preserve">-1957,4</w:t>
            </w:r>
          </w:p>
        </w:tc>
        <w:tc>
          <w:tcPr>
            <w:tcW w:type="dxa" w:w="1919"/>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7"/>
                <w:szCs w:val="17"/>
              </w:rPr>
              <w:t xml:space="preserve">3928,8</w:t>
            </w:r>
          </w:p>
        </w:tc>
        <w:tc>
          <w:tcPr>
            <w:tcW w:type="dxa" w:w="1919"/>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7"/>
                <w:szCs w:val="17"/>
              </w:rPr>
              <w:t xml:space="preserve">3965,3</w:t>
            </w:r>
          </w:p>
        </w:tc>
      </w:tr>
    </w:tbl>
    <w:p>
      <w:pPr>
        <w:spacing w:after="80"/>
      </w:pPr>
    </w:p>
    <w:p>
      <w:pPr>
        <w:spacing w:after="120" w:line="276"/>
        <w:jc w:val="both"/>
      </w:pPr>
      <w:r>
        <w:rPr>
          <w:rFonts w:ascii="Calibri" w:cs="Calibri" w:eastAsia="Calibri" w:hAnsi="Calibri"/>
          <w:sz w:val="22"/>
          <w:szCs w:val="22"/>
        </w:rPr>
        <w:t xml:space="preserve">La loi de Student améliore le BIC de 256 points par rapport à la loi normale (3 951 contre 4 208) : les queues épaisses sont indispensables. Les ordres supérieurs (1,2), (2,1) et (2,2) ont un BIC plus élevé : </w:t>
      </w:r>
      <w:r>
        <w:rPr>
          <w:rFonts w:ascii="Calibri" w:cs="Calibri" w:eastAsia="Calibri" w:hAnsi="Calibri"/>
          <w:b/>
          <w:bCs/>
          <w:sz w:val="22"/>
          <w:szCs w:val="22"/>
        </w:rPr>
        <w:t xml:space="preserve">le GARCH(1,1) à innovations de Student est retenu</w:t>
      </w:r>
      <w:r>
        <w:rPr>
          <w:rFonts w:ascii="Calibri" w:cs="Calibri" w:eastAsia="Calibri" w:hAnsi="Calibri"/>
          <w:sz w:val="22"/>
          <w:szCs w:val="22"/>
        </w:rPr>
        <w:t xml:space="preserve">. Les paramètres estimés (sur nos données ré-estimées) sont α ≈ 0,105, β ≈ 0,861 et ν ≈ 4,2 degrés de liberté ; la </w:t>
      </w:r>
      <w:r>
        <w:rPr>
          <w:rFonts w:ascii="Calibri" w:cs="Calibri" w:eastAsia="Calibri" w:hAnsi="Calibri"/>
          <w:b/>
          <w:bCs/>
          <w:sz w:val="22"/>
          <w:szCs w:val="22"/>
        </w:rPr>
        <w:t xml:space="preserve">persistance</w:t>
      </w:r>
      <w:r>
        <w:rPr>
          <w:rFonts w:ascii="Calibri" w:cs="Calibri" w:eastAsia="Calibri" w:hAnsi="Calibri"/>
          <w:sz w:val="22"/>
          <w:szCs w:val="22"/>
        </w:rPr>
        <w:t xml:space="preserve"> α + β vaut 0,966 et la </w:t>
      </w:r>
      <w:r>
        <w:rPr>
          <w:rFonts w:ascii="Calibri" w:cs="Calibri" w:eastAsia="Calibri" w:hAnsi="Calibri"/>
          <w:b/>
          <w:bCs/>
          <w:sz w:val="22"/>
          <w:szCs w:val="22"/>
        </w:rPr>
        <w:t xml:space="preserve">demi-vie d'un choc de volatilité</w:t>
      </w:r>
      <w:r>
        <w:rPr>
          <w:rFonts w:ascii="Calibri" w:cs="Calibri" w:eastAsia="Calibri" w:hAnsi="Calibri"/>
          <w:sz w:val="22"/>
          <w:szCs w:val="22"/>
        </w:rPr>
        <w:t xml:space="preserve"> est d'environ </w:t>
      </w:r>
      <w:r>
        <w:rPr>
          <w:rFonts w:ascii="Calibri" w:cs="Calibri" w:eastAsia="Calibri" w:hAnsi="Calibri"/>
          <w:b/>
          <w:bCs/>
          <w:sz w:val="22"/>
          <w:szCs w:val="22"/>
        </w:rPr>
        <w:t xml:space="preserve">19,8 séances</w:t>
      </w:r>
      <w:r>
        <w:rPr>
          <w:rFonts w:ascii="Calibri" w:cs="Calibri" w:eastAsia="Calibri" w:hAnsi="Calibri"/>
          <w:sz w:val="22"/>
          <w:szCs w:val="22"/>
        </w:rPr>
        <w:t xml:space="preserve">.</w:t>
      </w:r>
    </w:p>
    <w:p>
      <w:pPr>
        <w:keepNext/>
        <w:spacing w:after="80" w:before="120"/>
      </w:pPr>
      <w:r>
        <w:rPr>
          <w:rFonts w:ascii="Calibri" w:cs="Calibri" w:eastAsia="Calibri" w:hAnsi="Calibri"/>
          <w:i/>
          <w:iCs/>
          <w:color w:val="595959"/>
          <w:sz w:val="18"/>
          <w:szCs w:val="18"/>
        </w:rPr>
        <w:t xml:space="preserve">Tableau 6 — Diagnostic des résidus standardisés du GARCH (p-values)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1100"/>
        <w:gridCol w:w="1100"/>
        <w:gridCol w:w="1100"/>
        <w:gridCol w:w="1100"/>
        <w:gridCol w:w="1338"/>
        <w:gridCol w:w="1300"/>
      </w:tblGrid>
      <w:tr>
        <w:trPr>
          <w:tblHeader/>
        </w:trPr>
        <w:tc>
          <w:tcPr>
            <w:tcW w:type="dxa" w:w="26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jc w:val="center"/>
            </w:pPr>
            <w:r>
              <w:rPr>
                <w:rFonts w:ascii="Calibri" w:cs="Calibri" w:eastAsia="Calibri" w:hAnsi="Calibri"/>
                <w:b/>
                <w:bCs/>
                <w:color w:val="FFFFFF"/>
                <w:sz w:val="16"/>
                <w:szCs w:val="16"/>
              </w:rPr>
              <w:t xml:space="preserve">Modèle</w:t>
            </w:r>
          </w:p>
        </w:tc>
        <w:tc>
          <w:tcPr>
            <w:tcW w:type="dxa" w:w="11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jc w:val="center"/>
            </w:pPr>
            <w:r>
              <w:rPr>
                <w:rFonts w:ascii="Calibri" w:cs="Calibri" w:eastAsia="Calibri" w:hAnsi="Calibri"/>
                <w:b/>
                <w:bCs/>
                <w:color w:val="FFFFFF"/>
                <w:sz w:val="16"/>
                <w:szCs w:val="16"/>
              </w:rPr>
              <w:t xml:space="preserve">LB(10) z</w:t>
            </w:r>
          </w:p>
        </w:tc>
        <w:tc>
          <w:tcPr>
            <w:tcW w:type="dxa" w:w="11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jc w:val="center"/>
            </w:pPr>
            <w:r>
              <w:rPr>
                <w:rFonts w:ascii="Calibri" w:cs="Calibri" w:eastAsia="Calibri" w:hAnsi="Calibri"/>
                <w:b/>
                <w:bCs/>
                <w:color w:val="FFFFFF"/>
                <w:sz w:val="16"/>
                <w:szCs w:val="16"/>
              </w:rPr>
              <w:t xml:space="preserve">LB(20) z</w:t>
            </w:r>
          </w:p>
        </w:tc>
        <w:tc>
          <w:tcPr>
            <w:tcW w:type="dxa" w:w="11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jc w:val="center"/>
            </w:pPr>
            <w:r>
              <w:rPr>
                <w:rFonts w:ascii="Calibri" w:cs="Calibri" w:eastAsia="Calibri" w:hAnsi="Calibri"/>
                <w:b/>
                <w:bCs/>
                <w:color w:val="FFFFFF"/>
                <w:sz w:val="16"/>
                <w:szCs w:val="16"/>
              </w:rPr>
              <w:t xml:space="preserve">LB(10) z²</w:t>
            </w:r>
          </w:p>
        </w:tc>
        <w:tc>
          <w:tcPr>
            <w:tcW w:type="dxa" w:w="11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jc w:val="center"/>
            </w:pPr>
            <w:r>
              <w:rPr>
                <w:rFonts w:ascii="Calibri" w:cs="Calibri" w:eastAsia="Calibri" w:hAnsi="Calibri"/>
                <w:b/>
                <w:bCs/>
                <w:color w:val="FFFFFF"/>
                <w:sz w:val="16"/>
                <w:szCs w:val="16"/>
              </w:rPr>
              <w:t xml:space="preserve">LB(20) z²</w:t>
            </w:r>
          </w:p>
        </w:tc>
        <w:tc>
          <w:tcPr>
            <w:tcW w:type="dxa" w:w="1338"/>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jc w:val="center"/>
            </w:pPr>
            <w:r>
              <w:rPr>
                <w:rFonts w:ascii="Calibri" w:cs="Calibri" w:eastAsia="Calibri" w:hAnsi="Calibri"/>
                <w:b/>
                <w:bCs/>
                <w:color w:val="FFFFFF"/>
                <w:sz w:val="16"/>
                <w:szCs w:val="16"/>
              </w:rPr>
              <w:t xml:space="preserve">ARCH-LM z</w:t>
            </w:r>
          </w:p>
        </w:tc>
        <w:tc>
          <w:tcPr>
            <w:tcW w:type="dxa" w:w="13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jc w:val="center"/>
            </w:pPr>
            <w:r>
              <w:rPr>
                <w:rFonts w:ascii="Calibri" w:cs="Calibri" w:eastAsia="Calibri" w:hAnsi="Calibri"/>
                <w:b/>
                <w:bCs/>
                <w:color w:val="FFFFFF"/>
                <w:sz w:val="16"/>
                <w:szCs w:val="16"/>
              </w:rPr>
              <w:t xml:space="preserve">JB z</w:t>
            </w:r>
          </w:p>
        </w:tc>
      </w:tr>
      <w:tr>
        <w:trPr>
          <w:cantSplit/>
        </w:trPr>
        <w:tc>
          <w:tcPr>
            <w:tcW w:type="dxa" w:w="26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6"/>
                <w:szCs w:val="16"/>
              </w:rPr>
              <w:t xml:space="preserve">GARCH(1,1) normal</w:t>
            </w:r>
          </w:p>
        </w:tc>
        <w:tc>
          <w:tcPr>
            <w:tcW w:type="dxa" w:w="11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6"/>
                <w:szCs w:val="16"/>
              </w:rPr>
              <w:t xml:space="preserve">0,0711</w:t>
            </w:r>
          </w:p>
        </w:tc>
        <w:tc>
          <w:tcPr>
            <w:tcW w:type="dxa" w:w="11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6"/>
                <w:szCs w:val="16"/>
              </w:rPr>
              <w:t xml:space="preserve">0,2064</w:t>
            </w:r>
          </w:p>
        </w:tc>
        <w:tc>
          <w:tcPr>
            <w:tcW w:type="dxa" w:w="11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6"/>
                <w:szCs w:val="16"/>
              </w:rPr>
              <w:t xml:space="preserve">0,9894</w:t>
            </w:r>
          </w:p>
        </w:tc>
        <w:tc>
          <w:tcPr>
            <w:tcW w:type="dxa" w:w="11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6"/>
                <w:szCs w:val="16"/>
              </w:rPr>
              <w:t xml:space="preserve">1,0000</w:t>
            </w:r>
          </w:p>
        </w:tc>
        <w:tc>
          <w:tcPr>
            <w:tcW w:type="dxa" w:w="133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6"/>
                <w:szCs w:val="16"/>
              </w:rPr>
              <w:t xml:space="preserve">0,9904</w:t>
            </w:r>
          </w:p>
        </w:tc>
        <w:tc>
          <w:tcPr>
            <w:tcW w:type="dxa" w:w="13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6"/>
                <w:szCs w:val="16"/>
              </w:rPr>
              <w:t xml:space="preserve">&lt; 0,0001</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6"/>
                <w:szCs w:val="16"/>
              </w:rPr>
              <w:t xml:space="preserve">GARCH(1,1) t (meilleur BIC)</w:t>
            </w:r>
          </w:p>
        </w:tc>
        <w:tc>
          <w:tcPr>
            <w:tcW w:type="dxa" w:w="11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6"/>
                <w:szCs w:val="16"/>
              </w:rPr>
              <w:t xml:space="preserve">0,1622</w:t>
            </w:r>
          </w:p>
        </w:tc>
        <w:tc>
          <w:tcPr>
            <w:tcW w:type="dxa" w:w="11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6"/>
                <w:szCs w:val="16"/>
              </w:rPr>
              <w:t xml:space="preserve">0,3339</w:t>
            </w:r>
          </w:p>
        </w:tc>
        <w:tc>
          <w:tcPr>
            <w:tcW w:type="dxa" w:w="11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6"/>
                <w:szCs w:val="16"/>
              </w:rPr>
              <w:t xml:space="preserve">0,9970</w:t>
            </w:r>
          </w:p>
        </w:tc>
        <w:tc>
          <w:tcPr>
            <w:tcW w:type="dxa" w:w="11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6"/>
                <w:szCs w:val="16"/>
              </w:rPr>
              <w:t xml:space="preserve">1,0000</w:t>
            </w:r>
          </w:p>
        </w:tc>
        <w:tc>
          <w:tcPr>
            <w:tcW w:type="dxa" w:w="133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6"/>
                <w:szCs w:val="16"/>
              </w:rPr>
              <w:t xml:space="preserve">0,9967</w:t>
            </w:r>
          </w:p>
        </w:tc>
        <w:tc>
          <w:tcPr>
            <w:tcW w:type="dxa" w:w="13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6"/>
                <w:szCs w:val="16"/>
              </w:rPr>
              <w:t xml:space="preserve">&lt; 0,0001</w:t>
            </w:r>
          </w:p>
        </w:tc>
      </w:tr>
    </w:tbl>
    <w:p>
      <w:pPr>
        <w:spacing w:after="80"/>
      </w:pPr>
    </w:p>
    <w:p>
      <w:pPr>
        <w:spacing w:after="120" w:line="276"/>
        <w:jc w:val="both"/>
      </w:pPr>
      <w:r>
        <w:rPr>
          <w:rFonts w:ascii="Calibri" w:cs="Calibri" w:eastAsia="Calibri" w:hAnsi="Calibri"/>
          <w:sz w:val="22"/>
          <w:szCs w:val="22"/>
        </w:rPr>
        <w:t xml:space="preserve">Pour le modèle retenu, les résidus standardisés ne présentent plus d'autocorrélation (p = 0,16), ni dans leurs carrés (p = 0,997), ni d'effet ARCH résiduel (p = 0,997) : </w:t>
      </w:r>
      <w:r>
        <w:rPr>
          <w:rFonts w:ascii="Calibri" w:cs="Calibri" w:eastAsia="Calibri" w:hAnsi="Calibri"/>
          <w:b/>
          <w:bCs/>
          <w:sz w:val="22"/>
          <w:szCs w:val="22"/>
        </w:rPr>
        <w:t xml:space="preserve">l'homoscédasticité est rétablie</w:t>
      </w:r>
      <w:r>
        <w:rPr>
          <w:rFonts w:ascii="Calibri" w:cs="Calibri" w:eastAsia="Calibri" w:hAnsi="Calibri"/>
          <w:sz w:val="22"/>
          <w:szCs w:val="22"/>
        </w:rPr>
        <w:t xml:space="preserve">. Le test de Jarque-Bera rejette encore la normalité, ce qui est attendu et sans conséquence puisque l'on a précisément supposé une loi de Student.</w:t>
      </w:r>
    </w:p>
    <w:p>
      <w:pPr>
        <w:keepNext/>
        <w:spacing w:before="120"/>
        <w:jc w:val="center"/>
      </w:pPr>
      <w:r>
        <w:drawing>
          <wp:inline distT="0" distB="0" distL="0" distR="0">
            <wp:extent cx="5143500" cy="3276600"/>
            <wp:effectExtent t="0" r="0" b="0" l="0"/>
            <wp:docPr id="1" name="fig13_garch_volatilite.png" descr="Figure 11 — Volatilité conditionnelle GARCH(1,1)-t de KO et événements marquants" title="Figure 11 — Volatilité conditionnelle GARCH(1,1)-t de KO et événements marqua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143500" cy="3276600"/>
                    </a:xfrm>
                    <a:prstGeom prst="rect">
                      <a:avLst/>
                    </a:prstGeom>
                  </pic:spPr>
                </pic:pic>
              </a:graphicData>
            </a:graphic>
          </wp:inline>
        </w:drawing>
      </w:r>
    </w:p>
    <w:p>
      <w:pPr>
        <w:spacing w:after="200" w:before="60"/>
        <w:jc w:val="center"/>
      </w:pPr>
      <w:r>
        <w:rPr>
          <w:rFonts w:ascii="Calibri" w:cs="Calibri" w:eastAsia="Calibri" w:hAnsi="Calibri"/>
          <w:i/>
          <w:iCs/>
          <w:color w:val="595959"/>
          <w:sz w:val="18"/>
          <w:szCs w:val="18"/>
        </w:rPr>
        <w:t xml:space="preserve">Figure 11 — Volatilité conditionnelle GARCH(1,1)-t de KO et événements marquants</w:t>
      </w:r>
    </w:p>
    <w:p>
      <w:pPr>
        <w:spacing w:after="120" w:line="276"/>
        <w:jc w:val="both"/>
      </w:pPr>
      <w:r>
        <w:rPr>
          <w:rFonts w:ascii="Calibri" w:cs="Calibri" w:eastAsia="Calibri" w:hAnsi="Calibri"/>
          <w:sz w:val="22"/>
          <w:szCs w:val="22"/>
        </w:rPr>
        <w:t xml:space="preserve">La volatilité conditionnelle atteint son maximum le </w:t>
      </w:r>
      <w:r>
        <w:rPr>
          <w:rFonts w:ascii="Calibri" w:cs="Calibri" w:eastAsia="Calibri" w:hAnsi="Calibri"/>
          <w:b/>
          <w:bCs/>
          <w:sz w:val="22"/>
          <w:szCs w:val="22"/>
        </w:rPr>
        <w:t xml:space="preserve">23 mars 2020 (5,2 % par jour)</w:t>
      </w:r>
      <w:r>
        <w:rPr>
          <w:rFonts w:ascii="Calibri" w:cs="Calibri" w:eastAsia="Calibri" w:hAnsi="Calibri"/>
          <w:sz w:val="22"/>
          <w:szCs w:val="22"/>
        </w:rPr>
        <w:t xml:space="preserve">, au creux de la crise du COVID-19, contre un minimum de 0,7 % le 26 avril 2023. La moyenne annuelle illustre le régime : 1,74 % en 2020 contre 0,88 % en 2024. Les prévisions à 10 jours passent de 0,86 % à 0,98 % par jour (soit environ 13,6 % puis 15,5 % annualisés). </w:t>
      </w:r>
      <w:r>
        <w:rPr>
          <w:rFonts w:ascii="Calibri" w:cs="Calibri" w:eastAsia="Calibri" w:hAnsi="Calibri"/>
          <w:b/>
          <w:bCs/>
          <w:sz w:val="22"/>
          <w:szCs w:val="22"/>
        </w:rPr>
        <w:t xml:space="preserve">Cette hausse n'est pas un signal d'alerte</w:t>
      </w:r>
      <w:r>
        <w:rPr>
          <w:rFonts w:ascii="Calibri" w:cs="Calibri" w:eastAsia="Calibri" w:hAnsi="Calibri"/>
          <w:sz w:val="22"/>
          <w:szCs w:val="22"/>
        </w:rPr>
        <w:t xml:space="preserve"> : elle traduit le retour mécanique vers la volatilité de long terme (écart-type inconditionnel ≈ 1,32 %) à partir d'un niveau actuellement inférieur.</w:t>
      </w:r>
    </w:p>
    <w:p>
      <w:pPr>
        <w:keepNext/>
        <w:spacing w:before="120"/>
        <w:jc w:val="center"/>
      </w:pPr>
      <w:r>
        <w:drawing>
          <wp:inline distT="0" distB="0" distL="0" distR="0">
            <wp:extent cx="4953000" cy="3152775"/>
            <wp:effectExtent t="0" r="0" b="0" l="0"/>
            <wp:docPr id="1" name="fig14_garch_residus.png" descr="Figure 12 — Diagnostic des résidus standardisés du GARCH(1,1)-t" title="Figure 12 — Diagnostic des résidus standardisés du GARCH(1,1)-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953000" cy="3152775"/>
                    </a:xfrm>
                    <a:prstGeom prst="rect">
                      <a:avLst/>
                    </a:prstGeom>
                  </pic:spPr>
                </pic:pic>
              </a:graphicData>
            </a:graphic>
          </wp:inline>
        </w:drawing>
      </w:r>
    </w:p>
    <w:p>
      <w:pPr>
        <w:spacing w:after="200" w:before="60"/>
        <w:jc w:val="center"/>
      </w:pPr>
      <w:r>
        <w:rPr>
          <w:rFonts w:ascii="Calibri" w:cs="Calibri" w:eastAsia="Calibri" w:hAnsi="Calibri"/>
          <w:i/>
          <w:iCs/>
          <w:color w:val="595959"/>
          <w:sz w:val="18"/>
          <w:szCs w:val="18"/>
        </w:rPr>
        <w:t xml:space="preserve">Figure 12 — Diagnostic des résidus standardisés du GARCH(1,1)-t</w:t>
      </w:r>
    </w:p>
    <w:p>
      <w:pPr>
        <w:pStyle w:val="Heading1"/>
        <w:keepNext/>
        <w:spacing w:after="160" w:before="360"/>
      </w:pPr>
      <w:r>
        <w:rPr>
          <w:rFonts w:ascii="Calibri" w:cs="Calibri" w:eastAsia="Calibri" w:hAnsi="Calibri"/>
          <w:b/>
          <w:bCs/>
          <w:color w:val="1F3864"/>
          <w:sz w:val="32"/>
          <w:szCs w:val="32"/>
        </w:rPr>
        <w:t xml:space="preserve">5. Modélisation avancée : LSTM et GRU</w:t>
      </w:r>
    </w:p>
    <w:p>
      <w:pPr>
        <w:spacing w:after="120" w:line="276"/>
        <w:jc w:val="both"/>
      </w:pPr>
      <w:r>
        <w:rPr>
          <w:rFonts w:ascii="Calibri" w:cs="Calibri" w:eastAsia="Calibri" w:hAnsi="Calibri"/>
          <w:b/>
          <w:bCs/>
          <w:sz w:val="22"/>
          <w:szCs w:val="22"/>
        </w:rPr>
        <w:t xml:space="preserve">Mise en forme.</w:t>
      </w:r>
      <w:r>
        <w:rPr>
          <w:rFonts w:ascii="Calibri" w:cs="Calibri" w:eastAsia="Calibri" w:hAnsi="Calibri"/>
          <w:sz w:val="22"/>
          <w:szCs w:val="22"/>
        </w:rPr>
        <w:t xml:space="preserve"> L'entrée est une fenêtre glissante de L jours contenant trois variables : rendement de KO, rendement de PEP et volatilité réalisée 21 jours de KO. La sortie est le vecteur des 10 prochains rendements de KO (prévision directe multi-pas), recomposé en prix. La normalisation (StandardScaler) est ajustée </w:t>
      </w:r>
      <w:r>
        <w:rPr>
          <w:rFonts w:ascii="Calibri" w:cs="Calibri" w:eastAsia="Calibri" w:hAnsi="Calibri"/>
          <w:b/>
          <w:bCs/>
          <w:sz w:val="22"/>
          <w:szCs w:val="22"/>
        </w:rPr>
        <w:t xml:space="preserve">sur l'apprentissage seul</w:t>
      </w:r>
      <w:r>
        <w:rPr>
          <w:rFonts w:ascii="Calibri" w:cs="Calibri" w:eastAsia="Calibri" w:hAnsi="Calibri"/>
          <w:sz w:val="22"/>
          <w:szCs w:val="22"/>
        </w:rPr>
        <w:t xml:space="preserve">, la construction des fenêtres est causale, et une validation interne séparée de l'apprentissage par un embargo de 10 jours évite toute fuite liée au chevauchement des cibles.</w:t>
      </w:r>
    </w:p>
    <w:p>
      <w:pPr>
        <w:spacing w:after="120" w:line="276"/>
        <w:jc w:val="both"/>
      </w:pPr>
      <w:r>
        <w:rPr>
          <w:rFonts w:ascii="Calibri" w:cs="Calibri" w:eastAsia="Calibri" w:hAnsi="Calibri"/>
          <w:b/>
          <w:bCs/>
          <w:sz w:val="22"/>
          <w:szCs w:val="22"/>
        </w:rPr>
        <w:t xml:space="preserve">Architecture et entraînement.</w:t>
      </w:r>
      <w:r>
        <w:rPr>
          <w:rFonts w:ascii="Calibri" w:cs="Calibri" w:eastAsia="Calibri" w:hAnsi="Calibri"/>
          <w:sz w:val="22"/>
          <w:szCs w:val="22"/>
        </w:rPr>
        <w:t xml:space="preserve"> Deux couches récurrentes (32 puis 16 unités), du dropout, une couche dense de 10 sorties, optimiseur Adam (pas 10⁻³), perte MSE, arrêt précoce (patience 5) sur la perte de validation. Le réseau est volontairement petit : environ 1 300 fenêtres d'apprentissage seulement, un grand réseau surapprendrait. Graine fixée (42).</w:t>
      </w:r>
    </w:p>
    <w:p>
      <w:pPr>
        <w:keepNext/>
        <w:spacing w:after="80" w:before="120"/>
      </w:pPr>
      <w:r>
        <w:rPr>
          <w:rFonts w:ascii="Calibri" w:cs="Calibri" w:eastAsia="Calibri" w:hAnsi="Calibri"/>
          <w:i/>
          <w:iCs/>
          <w:color w:val="595959"/>
          <w:sz w:val="18"/>
          <w:szCs w:val="18"/>
        </w:rPr>
        <w:t xml:space="preserve">Tableau 7 — Grille d'hyperparamètres (sélection sur la perte de validation)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1700"/>
        <w:gridCol w:w="1700"/>
        <w:gridCol w:w="2738"/>
        <w:gridCol w:w="1700"/>
      </w:tblGrid>
      <w:tr>
        <w:trPr>
          <w:tblHeader/>
        </w:trPr>
        <w:tc>
          <w:tcPr>
            <w:tcW w:type="dxa" w:w="18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jc w:val="center"/>
            </w:pPr>
            <w:r>
              <w:rPr>
                <w:rFonts w:ascii="Calibri" w:cs="Calibri" w:eastAsia="Calibri" w:hAnsi="Calibri"/>
                <w:b/>
                <w:bCs/>
                <w:color w:val="FFFFFF"/>
                <w:sz w:val="17"/>
                <w:szCs w:val="17"/>
              </w:rPr>
              <w:t xml:space="preserve">Modèle</w:t>
            </w:r>
          </w:p>
        </w:tc>
        <w:tc>
          <w:tcPr>
            <w:tcW w:type="dxa" w:w="17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jc w:val="center"/>
            </w:pPr>
            <w:r>
              <w:rPr>
                <w:rFonts w:ascii="Calibri" w:cs="Calibri" w:eastAsia="Calibri" w:hAnsi="Calibri"/>
                <w:b/>
                <w:bCs/>
                <w:color w:val="FFFFFF"/>
                <w:sz w:val="17"/>
                <w:szCs w:val="17"/>
              </w:rPr>
              <w:t xml:space="preserve">Fenêtre L</w:t>
            </w:r>
          </w:p>
        </w:tc>
        <w:tc>
          <w:tcPr>
            <w:tcW w:type="dxa" w:w="17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jc w:val="center"/>
            </w:pPr>
            <w:r>
              <w:rPr>
                <w:rFonts w:ascii="Calibri" w:cs="Calibri" w:eastAsia="Calibri" w:hAnsi="Calibri"/>
                <w:b/>
                <w:bCs/>
                <w:color w:val="FFFFFF"/>
                <w:sz w:val="17"/>
                <w:szCs w:val="17"/>
              </w:rPr>
              <w:t xml:space="preserve">Dropout</w:t>
            </w:r>
          </w:p>
        </w:tc>
        <w:tc>
          <w:tcPr>
            <w:tcW w:type="dxa" w:w="2738"/>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jc w:val="center"/>
            </w:pPr>
            <w:r>
              <w:rPr>
                <w:rFonts w:ascii="Calibri" w:cs="Calibri" w:eastAsia="Calibri" w:hAnsi="Calibri"/>
                <w:b/>
                <w:bCs/>
                <w:color w:val="FFFFFF"/>
                <w:sz w:val="17"/>
                <w:szCs w:val="17"/>
              </w:rPr>
              <w:t xml:space="preserve">Perte de validation</w:t>
            </w:r>
          </w:p>
        </w:tc>
        <w:tc>
          <w:tcPr>
            <w:tcW w:type="dxa" w:w="17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jc w:val="center"/>
            </w:pPr>
            <w:r>
              <w:rPr>
                <w:rFonts w:ascii="Calibri" w:cs="Calibri" w:eastAsia="Calibri" w:hAnsi="Calibri"/>
                <w:b/>
                <w:bCs/>
                <w:color w:val="FFFFFF"/>
                <w:sz w:val="17"/>
                <w:szCs w:val="17"/>
              </w:rPr>
              <w:t xml:space="preserve">Epochs</w:t>
            </w:r>
          </w:p>
        </w:tc>
      </w:tr>
      <w:tr>
        <w:trPr>
          <w:cantSplit/>
        </w:trPr>
        <w:tc>
          <w:tcPr>
            <w:tcW w:type="dxa" w:w="18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7"/>
                <w:szCs w:val="17"/>
              </w:rPr>
              <w:t xml:space="preserve">LSTM</w:t>
            </w:r>
          </w:p>
        </w:tc>
        <w:tc>
          <w:tcPr>
            <w:tcW w:type="dxa" w:w="17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7"/>
                <w:szCs w:val="17"/>
              </w:rPr>
              <w:t xml:space="preserve">10</w:t>
            </w:r>
          </w:p>
        </w:tc>
        <w:tc>
          <w:tcPr>
            <w:tcW w:type="dxa" w:w="17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7"/>
                <w:szCs w:val="17"/>
              </w:rPr>
              <w:t xml:space="preserve">0,1</w:t>
            </w:r>
          </w:p>
        </w:tc>
        <w:tc>
          <w:tcPr>
            <w:tcW w:type="dxa" w:w="273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7"/>
                <w:szCs w:val="17"/>
              </w:rPr>
              <w:t xml:space="preserve">0,3861</w:t>
            </w:r>
          </w:p>
        </w:tc>
        <w:tc>
          <w:tcPr>
            <w:tcW w:type="dxa" w:w="17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7"/>
                <w:szCs w:val="17"/>
              </w:rPr>
              <w:t xml:space="preserve">7</w:t>
            </w:r>
          </w:p>
        </w:tc>
      </w:tr>
      <w:tr>
        <w:trPr>
          <w:cantSplit/>
        </w:trPr>
        <w:tc>
          <w:tcPr>
            <w:tcW w:type="dxa" w:w="18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7"/>
                <w:szCs w:val="17"/>
              </w:rPr>
              <w:t xml:space="preserve">LSTM</w:t>
            </w:r>
          </w:p>
        </w:tc>
        <w:tc>
          <w:tcPr>
            <w:tcW w:type="dxa" w:w="17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7"/>
                <w:szCs w:val="17"/>
              </w:rPr>
              <w:t xml:space="preserve">10</w:t>
            </w:r>
          </w:p>
        </w:tc>
        <w:tc>
          <w:tcPr>
            <w:tcW w:type="dxa" w:w="17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7"/>
                <w:szCs w:val="17"/>
              </w:rPr>
              <w:t xml:space="preserve">0,3</w:t>
            </w:r>
          </w:p>
        </w:tc>
        <w:tc>
          <w:tcPr>
            <w:tcW w:type="dxa" w:w="273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7"/>
                <w:szCs w:val="17"/>
              </w:rPr>
              <w:t xml:space="preserve">0,3851</w:t>
            </w:r>
          </w:p>
        </w:tc>
        <w:tc>
          <w:tcPr>
            <w:tcW w:type="dxa" w:w="17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7"/>
                <w:szCs w:val="17"/>
              </w:rPr>
              <w:t xml:space="preserve">13</w:t>
            </w:r>
          </w:p>
        </w:tc>
      </w:tr>
      <w:tr>
        <w:trPr>
          <w:cantSplit/>
        </w:trPr>
        <w:tc>
          <w:tcPr>
            <w:tcW w:type="dxa" w:w="18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7"/>
                <w:szCs w:val="17"/>
              </w:rPr>
              <w:t xml:space="preserve">LSTM</w:t>
            </w:r>
          </w:p>
        </w:tc>
        <w:tc>
          <w:tcPr>
            <w:tcW w:type="dxa" w:w="17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7"/>
                <w:szCs w:val="17"/>
              </w:rPr>
              <w:t xml:space="preserve">30</w:t>
            </w:r>
          </w:p>
        </w:tc>
        <w:tc>
          <w:tcPr>
            <w:tcW w:type="dxa" w:w="17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7"/>
                <w:szCs w:val="17"/>
              </w:rPr>
              <w:t xml:space="preserve">0,1</w:t>
            </w:r>
          </w:p>
        </w:tc>
        <w:tc>
          <w:tcPr>
            <w:tcW w:type="dxa" w:w="273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7"/>
                <w:szCs w:val="17"/>
              </w:rPr>
              <w:t xml:space="preserve">0,3896</w:t>
            </w:r>
          </w:p>
        </w:tc>
        <w:tc>
          <w:tcPr>
            <w:tcW w:type="dxa" w:w="17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7"/>
                <w:szCs w:val="17"/>
              </w:rPr>
              <w:t xml:space="preserve">6</w:t>
            </w:r>
          </w:p>
        </w:tc>
      </w:tr>
      <w:tr>
        <w:trPr>
          <w:cantSplit/>
        </w:trPr>
        <w:tc>
          <w:tcPr>
            <w:tcW w:type="dxa" w:w="18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7"/>
                <w:szCs w:val="17"/>
              </w:rPr>
              <w:t xml:space="preserve">LSTM</w:t>
            </w:r>
          </w:p>
        </w:tc>
        <w:tc>
          <w:tcPr>
            <w:tcW w:type="dxa" w:w="17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7"/>
                <w:szCs w:val="17"/>
              </w:rPr>
              <w:t xml:space="preserve">30</w:t>
            </w:r>
          </w:p>
        </w:tc>
        <w:tc>
          <w:tcPr>
            <w:tcW w:type="dxa" w:w="17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7"/>
                <w:szCs w:val="17"/>
              </w:rPr>
              <w:t xml:space="preserve">0,3</w:t>
            </w:r>
          </w:p>
        </w:tc>
        <w:tc>
          <w:tcPr>
            <w:tcW w:type="dxa" w:w="273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7"/>
                <w:szCs w:val="17"/>
              </w:rPr>
              <w:t xml:space="preserve">0,3891</w:t>
            </w:r>
          </w:p>
        </w:tc>
        <w:tc>
          <w:tcPr>
            <w:tcW w:type="dxa" w:w="17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7"/>
                <w:szCs w:val="17"/>
              </w:rPr>
              <w:t xml:space="preserve">10</w:t>
            </w:r>
          </w:p>
        </w:tc>
      </w:tr>
      <w:tr>
        <w:trPr>
          <w:cantSplit/>
        </w:trPr>
        <w:tc>
          <w:tcPr>
            <w:tcW w:type="dxa" w:w="18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7"/>
                <w:szCs w:val="17"/>
              </w:rPr>
              <w:t xml:space="preserve">GRU</w:t>
            </w:r>
          </w:p>
        </w:tc>
        <w:tc>
          <w:tcPr>
            <w:tcW w:type="dxa" w:w="17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7"/>
                <w:szCs w:val="17"/>
              </w:rPr>
              <w:t xml:space="preserve">10</w:t>
            </w:r>
          </w:p>
        </w:tc>
        <w:tc>
          <w:tcPr>
            <w:tcW w:type="dxa" w:w="17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7"/>
                <w:szCs w:val="17"/>
              </w:rPr>
              <w:t xml:space="preserve">0,1</w:t>
            </w:r>
          </w:p>
        </w:tc>
        <w:tc>
          <w:tcPr>
            <w:tcW w:type="dxa" w:w="273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7"/>
                <w:szCs w:val="17"/>
              </w:rPr>
              <w:t xml:space="preserve">0,3888</w:t>
            </w:r>
          </w:p>
        </w:tc>
        <w:tc>
          <w:tcPr>
            <w:tcW w:type="dxa" w:w="17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7"/>
                <w:szCs w:val="17"/>
              </w:rPr>
              <w:t xml:space="preserve">8</w:t>
            </w:r>
          </w:p>
        </w:tc>
      </w:tr>
      <w:tr>
        <w:trPr>
          <w:cantSplit/>
        </w:trPr>
        <w:tc>
          <w:tcPr>
            <w:tcW w:type="dxa" w:w="18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7"/>
                <w:szCs w:val="17"/>
              </w:rPr>
              <w:t xml:space="preserve">GRU</w:t>
            </w:r>
          </w:p>
        </w:tc>
        <w:tc>
          <w:tcPr>
            <w:tcW w:type="dxa" w:w="17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7"/>
                <w:szCs w:val="17"/>
              </w:rPr>
              <w:t xml:space="preserve">10</w:t>
            </w:r>
          </w:p>
        </w:tc>
        <w:tc>
          <w:tcPr>
            <w:tcW w:type="dxa" w:w="17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7"/>
                <w:szCs w:val="17"/>
              </w:rPr>
              <w:t xml:space="preserve">0,3</w:t>
            </w:r>
          </w:p>
        </w:tc>
        <w:tc>
          <w:tcPr>
            <w:tcW w:type="dxa" w:w="273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7"/>
                <w:szCs w:val="17"/>
              </w:rPr>
              <w:t xml:space="preserve">0,3850</w:t>
            </w:r>
          </w:p>
        </w:tc>
        <w:tc>
          <w:tcPr>
            <w:tcW w:type="dxa" w:w="17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7"/>
                <w:szCs w:val="17"/>
              </w:rPr>
              <w:t xml:space="preserve">7</w:t>
            </w:r>
          </w:p>
        </w:tc>
      </w:tr>
      <w:tr>
        <w:trPr>
          <w:cantSplit/>
        </w:trPr>
        <w:tc>
          <w:tcPr>
            <w:tcW w:type="dxa" w:w="18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7"/>
                <w:szCs w:val="17"/>
              </w:rPr>
              <w:t xml:space="preserve">GRU</w:t>
            </w:r>
          </w:p>
        </w:tc>
        <w:tc>
          <w:tcPr>
            <w:tcW w:type="dxa" w:w="17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7"/>
                <w:szCs w:val="17"/>
              </w:rPr>
              <w:t xml:space="preserve">30</w:t>
            </w:r>
          </w:p>
        </w:tc>
        <w:tc>
          <w:tcPr>
            <w:tcW w:type="dxa" w:w="17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7"/>
                <w:szCs w:val="17"/>
              </w:rPr>
              <w:t xml:space="preserve">0,1</w:t>
            </w:r>
          </w:p>
        </w:tc>
        <w:tc>
          <w:tcPr>
            <w:tcW w:type="dxa" w:w="273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7"/>
                <w:szCs w:val="17"/>
              </w:rPr>
              <w:t xml:space="preserve">0,3908</w:t>
            </w:r>
          </w:p>
        </w:tc>
        <w:tc>
          <w:tcPr>
            <w:tcW w:type="dxa" w:w="17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7"/>
                <w:szCs w:val="17"/>
              </w:rPr>
              <w:t xml:space="preserve">8</w:t>
            </w:r>
          </w:p>
        </w:tc>
      </w:tr>
      <w:tr>
        <w:trPr>
          <w:cantSplit/>
        </w:trPr>
        <w:tc>
          <w:tcPr>
            <w:tcW w:type="dxa" w:w="18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7"/>
                <w:szCs w:val="17"/>
              </w:rPr>
              <w:t xml:space="preserve">GRU</w:t>
            </w:r>
          </w:p>
        </w:tc>
        <w:tc>
          <w:tcPr>
            <w:tcW w:type="dxa" w:w="17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7"/>
                <w:szCs w:val="17"/>
              </w:rPr>
              <w:t xml:space="preserve">30</w:t>
            </w:r>
          </w:p>
        </w:tc>
        <w:tc>
          <w:tcPr>
            <w:tcW w:type="dxa" w:w="17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7"/>
                <w:szCs w:val="17"/>
              </w:rPr>
              <w:t xml:space="preserve">0,3</w:t>
            </w:r>
          </w:p>
        </w:tc>
        <w:tc>
          <w:tcPr>
            <w:tcW w:type="dxa" w:w="273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7"/>
                <w:szCs w:val="17"/>
              </w:rPr>
              <w:t xml:space="preserve">0,3905</w:t>
            </w:r>
          </w:p>
        </w:tc>
        <w:tc>
          <w:tcPr>
            <w:tcW w:type="dxa" w:w="17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7"/>
                <w:szCs w:val="17"/>
              </w:rPr>
              <w:t xml:space="preserve">12</w:t>
            </w:r>
          </w:p>
        </w:tc>
      </w:tr>
    </w:tbl>
    <w:p>
      <w:pPr>
        <w:spacing w:after="80"/>
      </w:pPr>
    </w:p>
    <w:p>
      <w:pPr>
        <w:spacing w:after="120" w:line="276"/>
        <w:jc w:val="both"/>
      </w:pPr>
      <w:r>
        <w:rPr>
          <w:rFonts w:ascii="Calibri" w:cs="Calibri" w:eastAsia="Calibri" w:hAnsi="Calibri"/>
          <w:sz w:val="22"/>
          <w:szCs w:val="22"/>
        </w:rPr>
        <w:t xml:space="preserve">Les pertes de validation sont très proches (0,385 à 0,391) : la sélection est peu discriminante, ce qui est une première indication que les réseaux n'extraient presque pas de signal. Pour les deux architectures, la configuration retenue est </w:t>
      </w:r>
      <w:r>
        <w:rPr>
          <w:rFonts w:ascii="Calibri" w:cs="Calibri" w:eastAsia="Calibri" w:hAnsi="Calibri"/>
          <w:b/>
          <w:bCs/>
          <w:sz w:val="22"/>
          <w:szCs w:val="22"/>
        </w:rPr>
        <w:t xml:space="preserve">L = 10 jours et dropout = 0,3</w:t>
      </w:r>
      <w:r>
        <w:rPr>
          <w:rFonts w:ascii="Calibri" w:cs="Calibri" w:eastAsia="Calibri" w:hAnsi="Calibri"/>
          <w:sz w:val="22"/>
          <w:szCs w:val="22"/>
        </w:rPr>
        <w:t xml:space="preserve">.</w:t>
      </w:r>
    </w:p>
    <w:p>
      <w:pPr>
        <w:keepNext/>
        <w:spacing w:before="120"/>
        <w:jc w:val="center"/>
      </w:pPr>
      <w:r>
        <w:drawing>
          <wp:inline distT="0" distB="0" distL="0" distR="0">
            <wp:extent cx="5715000" cy="1905000"/>
            <wp:effectExtent t="0" r="0" b="0" l="0"/>
            <wp:docPr id="1" name="fig15_dl_pertes.png" descr="Figure 13 — Courbes de perte train/validation du LSTM et du GRU retenus" title="Figure 13 — Courbes de perte train/validation du LSTM et du GRU reten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1905000"/>
                    </a:xfrm>
                    <a:prstGeom prst="rect">
                      <a:avLst/>
                    </a:prstGeom>
                  </pic:spPr>
                </pic:pic>
              </a:graphicData>
            </a:graphic>
          </wp:inline>
        </w:drawing>
      </w:r>
    </w:p>
    <w:p>
      <w:pPr>
        <w:spacing w:after="200" w:before="60"/>
        <w:jc w:val="center"/>
      </w:pPr>
      <w:r>
        <w:rPr>
          <w:rFonts w:ascii="Calibri" w:cs="Calibri" w:eastAsia="Calibri" w:hAnsi="Calibri"/>
          <w:i/>
          <w:iCs/>
          <w:color w:val="595959"/>
          <w:sz w:val="18"/>
          <w:szCs w:val="18"/>
        </w:rPr>
        <w:t xml:space="preserve">Figure 13 — Courbes de perte train/validation du LSTM et du GRU retenus</w:t>
      </w:r>
    </w:p>
    <w:p>
      <w:pPr>
        <w:spacing w:after="120" w:line="276"/>
        <w:jc w:val="both"/>
      </w:pPr>
      <w:r>
        <w:rPr>
          <w:rFonts w:ascii="Calibri" w:cs="Calibri" w:eastAsia="Calibri" w:hAnsi="Calibri"/>
          <w:b/>
          <w:bCs/>
          <w:sz w:val="22"/>
          <w:szCs w:val="22"/>
        </w:rPr>
        <w:t xml:space="preserve">Validation croisée temporelle (walk-forward).</w:t>
      </w:r>
      <w:r>
        <w:rPr>
          <w:rFonts w:ascii="Calibri" w:cs="Calibri" w:eastAsia="Calibri" w:hAnsi="Calibri"/>
          <w:sz w:val="22"/>
          <w:szCs w:val="22"/>
        </w:rPr>
        <w:t xml:space="preserve"> Cinq plis à fenêtre extensible (TimeSeriesSplit avec un écart de 10 jours) ; jamais de k-fold classique. La métrique est le RMSE du rendement cumulé à 10 jours, comparé à une baseline « rendement nul » (marche aléatoire).</w:t>
      </w:r>
    </w:p>
    <w:p>
      <w:pPr>
        <w:keepNext/>
        <w:spacing w:after="80" w:before="120"/>
      </w:pPr>
      <w:r>
        <w:rPr>
          <w:rFonts w:ascii="Calibri" w:cs="Calibri" w:eastAsia="Calibri" w:hAnsi="Calibri"/>
          <w:i/>
          <w:iCs/>
          <w:color w:val="595959"/>
          <w:sz w:val="18"/>
          <w:szCs w:val="18"/>
        </w:rPr>
        <w:t xml:space="preserve">Tableau 8 — Validation croisée walk-forward : RMSE du rendement cumulé à 10 jours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1300"/>
        <w:gridCol w:w="2300"/>
        <w:gridCol w:w="2300"/>
        <w:gridCol w:w="1838"/>
      </w:tblGrid>
      <w:tr>
        <w:trPr>
          <w:tblHeader/>
        </w:trPr>
        <w:tc>
          <w:tcPr>
            <w:tcW w:type="dxa" w:w="19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jc w:val="center"/>
            </w:pPr>
            <w:r>
              <w:rPr>
                <w:rFonts w:ascii="Calibri" w:cs="Calibri" w:eastAsia="Calibri" w:hAnsi="Calibri"/>
                <w:b/>
                <w:bCs/>
                <w:color w:val="FFFFFF"/>
                <w:sz w:val="17"/>
                <w:szCs w:val="17"/>
              </w:rPr>
              <w:t xml:space="preserve">Modèle</w:t>
            </w:r>
          </w:p>
        </w:tc>
        <w:tc>
          <w:tcPr>
            <w:tcW w:type="dxa" w:w="13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jc w:val="center"/>
            </w:pPr>
            <w:r>
              <w:rPr>
                <w:rFonts w:ascii="Calibri" w:cs="Calibri" w:eastAsia="Calibri" w:hAnsi="Calibri"/>
                <w:b/>
                <w:bCs/>
                <w:color w:val="FFFFFF"/>
                <w:sz w:val="17"/>
                <w:szCs w:val="17"/>
              </w:rPr>
              <w:t xml:space="preserve">Pli</w:t>
            </w:r>
          </w:p>
        </w:tc>
        <w:tc>
          <w:tcPr>
            <w:tcW w:type="dxa" w:w="23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jc w:val="center"/>
            </w:pPr>
            <w:r>
              <w:rPr>
                <w:rFonts w:ascii="Calibri" w:cs="Calibri" w:eastAsia="Calibri" w:hAnsi="Calibri"/>
                <w:b/>
                <w:bCs/>
                <w:color w:val="FFFFFF"/>
                <w:sz w:val="17"/>
                <w:szCs w:val="17"/>
              </w:rPr>
              <w:t xml:space="preserve">RMSE réseau</w:t>
            </w:r>
          </w:p>
        </w:tc>
        <w:tc>
          <w:tcPr>
            <w:tcW w:type="dxa" w:w="23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jc w:val="center"/>
            </w:pPr>
            <w:r>
              <w:rPr>
                <w:rFonts w:ascii="Calibri" w:cs="Calibri" w:eastAsia="Calibri" w:hAnsi="Calibri"/>
                <w:b/>
                <w:bCs/>
                <w:color w:val="FFFFFF"/>
                <w:sz w:val="17"/>
                <w:szCs w:val="17"/>
              </w:rPr>
              <w:t xml:space="preserve">RMSE naïf</w:t>
            </w:r>
          </w:p>
        </w:tc>
        <w:tc>
          <w:tcPr>
            <w:tcW w:type="dxa" w:w="1838"/>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jc w:val="center"/>
            </w:pPr>
            <w:r>
              <w:rPr>
                <w:rFonts w:ascii="Calibri" w:cs="Calibri" w:eastAsia="Calibri" w:hAnsi="Calibri"/>
                <w:b/>
                <w:bCs/>
                <w:color w:val="FFFFFF"/>
                <w:sz w:val="17"/>
                <w:szCs w:val="17"/>
              </w:rPr>
              <w:t xml:space="preserve">Bat le naïf ?</w:t>
            </w:r>
          </w:p>
        </w:tc>
      </w:tr>
      <w:tr>
        <w:trPr>
          <w:cantSplit/>
        </w:trPr>
        <w:tc>
          <w:tcPr>
            <w:tcW w:type="dxa" w:w="1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7"/>
                <w:szCs w:val="17"/>
              </w:rPr>
              <w:t xml:space="preserve">LSTM</w:t>
            </w:r>
          </w:p>
        </w:tc>
        <w:tc>
          <w:tcPr>
            <w:tcW w:type="dxa" w:w="13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7"/>
                <w:szCs w:val="17"/>
              </w:rPr>
              <w:t xml:space="preserve">1</w:t>
            </w:r>
          </w:p>
        </w:tc>
        <w:tc>
          <w:tcPr>
            <w:tcW w:type="dxa" w:w="23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7"/>
                <w:szCs w:val="17"/>
              </w:rPr>
              <w:t xml:space="preserve">0,0759</w:t>
            </w:r>
          </w:p>
        </w:tc>
        <w:tc>
          <w:tcPr>
            <w:tcW w:type="dxa" w:w="23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7"/>
                <w:szCs w:val="17"/>
              </w:rPr>
              <w:t xml:space="preserve">0,0739</w:t>
            </w:r>
          </w:p>
        </w:tc>
        <w:tc>
          <w:tcPr>
            <w:tcW w:type="dxa" w:w="183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7"/>
                <w:szCs w:val="17"/>
              </w:rPr>
              <w:t xml:space="preserve">non</w:t>
            </w:r>
          </w:p>
        </w:tc>
      </w:tr>
      <w:tr>
        <w:trPr>
          <w:cantSplit/>
        </w:trPr>
        <w:tc>
          <w:tcPr>
            <w:tcW w:type="dxa" w:w="19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7"/>
                <w:szCs w:val="17"/>
              </w:rPr>
              <w:t xml:space="preserve">LSTM</w:t>
            </w:r>
          </w:p>
        </w:tc>
        <w:tc>
          <w:tcPr>
            <w:tcW w:type="dxa" w:w="13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7"/>
                <w:szCs w:val="17"/>
              </w:rPr>
              <w:t xml:space="preserve">2</w:t>
            </w:r>
          </w:p>
        </w:tc>
        <w:tc>
          <w:tcPr>
            <w:tcW w:type="dxa" w:w="23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7"/>
                <w:szCs w:val="17"/>
              </w:rPr>
              <w:t xml:space="preserve">0,0269</w:t>
            </w:r>
          </w:p>
        </w:tc>
        <w:tc>
          <w:tcPr>
            <w:tcW w:type="dxa" w:w="23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7"/>
                <w:szCs w:val="17"/>
              </w:rPr>
              <w:t xml:space="preserve">0,0272</w:t>
            </w:r>
          </w:p>
        </w:tc>
        <w:tc>
          <w:tcPr>
            <w:tcW w:type="dxa" w:w="183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7"/>
                <w:szCs w:val="17"/>
              </w:rPr>
              <w:t xml:space="preserve">oui</w:t>
            </w:r>
          </w:p>
        </w:tc>
      </w:tr>
      <w:tr>
        <w:trPr>
          <w:cantSplit/>
        </w:trPr>
        <w:tc>
          <w:tcPr>
            <w:tcW w:type="dxa" w:w="1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7"/>
                <w:szCs w:val="17"/>
              </w:rPr>
              <w:t xml:space="preserve">LSTM</w:t>
            </w:r>
          </w:p>
        </w:tc>
        <w:tc>
          <w:tcPr>
            <w:tcW w:type="dxa" w:w="13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7"/>
                <w:szCs w:val="17"/>
              </w:rPr>
              <w:t xml:space="preserve">3</w:t>
            </w:r>
          </w:p>
        </w:tc>
        <w:tc>
          <w:tcPr>
            <w:tcW w:type="dxa" w:w="23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7"/>
                <w:szCs w:val="17"/>
              </w:rPr>
              <w:t xml:space="preserve">0,0335</w:t>
            </w:r>
          </w:p>
        </w:tc>
        <w:tc>
          <w:tcPr>
            <w:tcW w:type="dxa" w:w="23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7"/>
                <w:szCs w:val="17"/>
              </w:rPr>
              <w:t xml:space="preserve">0,0352</w:t>
            </w:r>
          </w:p>
        </w:tc>
        <w:tc>
          <w:tcPr>
            <w:tcW w:type="dxa" w:w="183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7"/>
                <w:szCs w:val="17"/>
              </w:rPr>
              <w:t xml:space="preserve">oui</w:t>
            </w:r>
          </w:p>
        </w:tc>
      </w:tr>
      <w:tr>
        <w:trPr>
          <w:cantSplit/>
        </w:trPr>
        <w:tc>
          <w:tcPr>
            <w:tcW w:type="dxa" w:w="19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7"/>
                <w:szCs w:val="17"/>
              </w:rPr>
              <w:t xml:space="preserve">LSTM</w:t>
            </w:r>
          </w:p>
        </w:tc>
        <w:tc>
          <w:tcPr>
            <w:tcW w:type="dxa" w:w="13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7"/>
                <w:szCs w:val="17"/>
              </w:rPr>
              <w:t xml:space="preserve">4</w:t>
            </w:r>
          </w:p>
        </w:tc>
        <w:tc>
          <w:tcPr>
            <w:tcW w:type="dxa" w:w="23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7"/>
                <w:szCs w:val="17"/>
              </w:rPr>
              <w:t xml:space="preserve">0,0327</w:t>
            </w:r>
          </w:p>
        </w:tc>
        <w:tc>
          <w:tcPr>
            <w:tcW w:type="dxa" w:w="23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7"/>
                <w:szCs w:val="17"/>
              </w:rPr>
              <w:t xml:space="preserve">0,0325</w:t>
            </w:r>
          </w:p>
        </w:tc>
        <w:tc>
          <w:tcPr>
            <w:tcW w:type="dxa" w:w="183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7"/>
                <w:szCs w:val="17"/>
              </w:rPr>
              <w:t xml:space="preserve">non</w:t>
            </w:r>
          </w:p>
        </w:tc>
      </w:tr>
      <w:tr>
        <w:trPr>
          <w:cantSplit/>
        </w:trPr>
        <w:tc>
          <w:tcPr>
            <w:tcW w:type="dxa" w:w="1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7"/>
                <w:szCs w:val="17"/>
              </w:rPr>
              <w:t xml:space="preserve">LSTM</w:t>
            </w:r>
          </w:p>
        </w:tc>
        <w:tc>
          <w:tcPr>
            <w:tcW w:type="dxa" w:w="13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7"/>
                <w:szCs w:val="17"/>
              </w:rPr>
              <w:t xml:space="preserve">5</w:t>
            </w:r>
          </w:p>
        </w:tc>
        <w:tc>
          <w:tcPr>
            <w:tcW w:type="dxa" w:w="23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7"/>
                <w:szCs w:val="17"/>
              </w:rPr>
              <w:t xml:space="preserve">0,0277</w:t>
            </w:r>
          </w:p>
        </w:tc>
        <w:tc>
          <w:tcPr>
            <w:tcW w:type="dxa" w:w="23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7"/>
                <w:szCs w:val="17"/>
              </w:rPr>
              <w:t xml:space="preserve">0,0279</w:t>
            </w:r>
          </w:p>
        </w:tc>
        <w:tc>
          <w:tcPr>
            <w:tcW w:type="dxa" w:w="183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7"/>
                <w:szCs w:val="17"/>
              </w:rPr>
              <w:t xml:space="preserve">oui</w:t>
            </w:r>
          </w:p>
        </w:tc>
      </w:tr>
      <w:tr>
        <w:trPr>
          <w:cantSplit/>
        </w:trPr>
        <w:tc>
          <w:tcPr>
            <w:tcW w:type="dxa" w:w="19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7"/>
                <w:szCs w:val="17"/>
              </w:rPr>
              <w:t xml:space="preserve">GRU</w:t>
            </w:r>
          </w:p>
        </w:tc>
        <w:tc>
          <w:tcPr>
            <w:tcW w:type="dxa" w:w="13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7"/>
                <w:szCs w:val="17"/>
              </w:rPr>
              <w:t xml:space="preserve">1</w:t>
            </w:r>
          </w:p>
        </w:tc>
        <w:tc>
          <w:tcPr>
            <w:tcW w:type="dxa" w:w="23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7"/>
                <w:szCs w:val="17"/>
              </w:rPr>
              <w:t xml:space="preserve">0,0753</w:t>
            </w:r>
          </w:p>
        </w:tc>
        <w:tc>
          <w:tcPr>
            <w:tcW w:type="dxa" w:w="23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7"/>
                <w:szCs w:val="17"/>
              </w:rPr>
              <w:t xml:space="preserve">0,0739</w:t>
            </w:r>
          </w:p>
        </w:tc>
        <w:tc>
          <w:tcPr>
            <w:tcW w:type="dxa" w:w="183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7"/>
                <w:szCs w:val="17"/>
              </w:rPr>
              <w:t xml:space="preserve">non</w:t>
            </w:r>
          </w:p>
        </w:tc>
      </w:tr>
      <w:tr>
        <w:trPr>
          <w:cantSplit/>
        </w:trPr>
        <w:tc>
          <w:tcPr>
            <w:tcW w:type="dxa" w:w="1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7"/>
                <w:szCs w:val="17"/>
              </w:rPr>
              <w:t xml:space="preserve">GRU</w:t>
            </w:r>
          </w:p>
        </w:tc>
        <w:tc>
          <w:tcPr>
            <w:tcW w:type="dxa" w:w="13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7"/>
                <w:szCs w:val="17"/>
              </w:rPr>
              <w:t xml:space="preserve">2</w:t>
            </w:r>
          </w:p>
        </w:tc>
        <w:tc>
          <w:tcPr>
            <w:tcW w:type="dxa" w:w="23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7"/>
                <w:szCs w:val="17"/>
              </w:rPr>
              <w:t xml:space="preserve">0,0274</w:t>
            </w:r>
          </w:p>
        </w:tc>
        <w:tc>
          <w:tcPr>
            <w:tcW w:type="dxa" w:w="23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7"/>
                <w:szCs w:val="17"/>
              </w:rPr>
              <w:t xml:space="preserve">0,0272</w:t>
            </w:r>
          </w:p>
        </w:tc>
        <w:tc>
          <w:tcPr>
            <w:tcW w:type="dxa" w:w="183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7"/>
                <w:szCs w:val="17"/>
              </w:rPr>
              <w:t xml:space="preserve">non</w:t>
            </w:r>
          </w:p>
        </w:tc>
      </w:tr>
      <w:tr>
        <w:trPr>
          <w:cantSplit/>
        </w:trPr>
        <w:tc>
          <w:tcPr>
            <w:tcW w:type="dxa" w:w="19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7"/>
                <w:szCs w:val="17"/>
              </w:rPr>
              <w:t xml:space="preserve">GRU</w:t>
            </w:r>
          </w:p>
        </w:tc>
        <w:tc>
          <w:tcPr>
            <w:tcW w:type="dxa" w:w="13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7"/>
                <w:szCs w:val="17"/>
              </w:rPr>
              <w:t xml:space="preserve">3</w:t>
            </w:r>
          </w:p>
        </w:tc>
        <w:tc>
          <w:tcPr>
            <w:tcW w:type="dxa" w:w="23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7"/>
                <w:szCs w:val="17"/>
              </w:rPr>
              <w:t xml:space="preserve">0,0342</w:t>
            </w:r>
          </w:p>
        </w:tc>
        <w:tc>
          <w:tcPr>
            <w:tcW w:type="dxa" w:w="23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7"/>
                <w:szCs w:val="17"/>
              </w:rPr>
              <w:t xml:space="preserve">0,0352</w:t>
            </w:r>
          </w:p>
        </w:tc>
        <w:tc>
          <w:tcPr>
            <w:tcW w:type="dxa" w:w="183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7"/>
                <w:szCs w:val="17"/>
              </w:rPr>
              <w:t xml:space="preserve">oui</w:t>
            </w:r>
          </w:p>
        </w:tc>
      </w:tr>
      <w:tr>
        <w:trPr>
          <w:cantSplit/>
        </w:trPr>
        <w:tc>
          <w:tcPr>
            <w:tcW w:type="dxa" w:w="1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7"/>
                <w:szCs w:val="17"/>
              </w:rPr>
              <w:t xml:space="preserve">GRU</w:t>
            </w:r>
          </w:p>
        </w:tc>
        <w:tc>
          <w:tcPr>
            <w:tcW w:type="dxa" w:w="13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7"/>
                <w:szCs w:val="17"/>
              </w:rPr>
              <w:t xml:space="preserve">4</w:t>
            </w:r>
          </w:p>
        </w:tc>
        <w:tc>
          <w:tcPr>
            <w:tcW w:type="dxa" w:w="23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7"/>
                <w:szCs w:val="17"/>
              </w:rPr>
              <w:t xml:space="preserve">0,0337</w:t>
            </w:r>
          </w:p>
        </w:tc>
        <w:tc>
          <w:tcPr>
            <w:tcW w:type="dxa" w:w="23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7"/>
                <w:szCs w:val="17"/>
              </w:rPr>
              <w:t xml:space="preserve">0,0325</w:t>
            </w:r>
          </w:p>
        </w:tc>
        <w:tc>
          <w:tcPr>
            <w:tcW w:type="dxa" w:w="183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7"/>
                <w:szCs w:val="17"/>
              </w:rPr>
              <w:t xml:space="preserve">non</w:t>
            </w:r>
          </w:p>
        </w:tc>
      </w:tr>
      <w:tr>
        <w:trPr>
          <w:cantSplit/>
        </w:trPr>
        <w:tc>
          <w:tcPr>
            <w:tcW w:type="dxa" w:w="19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7"/>
                <w:szCs w:val="17"/>
              </w:rPr>
              <w:t xml:space="preserve">GRU</w:t>
            </w:r>
          </w:p>
        </w:tc>
        <w:tc>
          <w:tcPr>
            <w:tcW w:type="dxa" w:w="13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7"/>
                <w:szCs w:val="17"/>
              </w:rPr>
              <w:t xml:space="preserve">5</w:t>
            </w:r>
          </w:p>
        </w:tc>
        <w:tc>
          <w:tcPr>
            <w:tcW w:type="dxa" w:w="23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7"/>
                <w:szCs w:val="17"/>
              </w:rPr>
              <w:t xml:space="preserve">0,0278</w:t>
            </w:r>
          </w:p>
        </w:tc>
        <w:tc>
          <w:tcPr>
            <w:tcW w:type="dxa" w:w="23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7"/>
                <w:szCs w:val="17"/>
              </w:rPr>
              <w:t xml:space="preserve">0,0279</w:t>
            </w:r>
          </w:p>
        </w:tc>
        <w:tc>
          <w:tcPr>
            <w:tcW w:type="dxa" w:w="183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7"/>
                <w:szCs w:val="17"/>
              </w:rPr>
              <w:t xml:space="preserve">oui</w:t>
            </w:r>
          </w:p>
        </w:tc>
      </w:tr>
    </w:tbl>
    <w:p>
      <w:pPr>
        <w:spacing w:after="80"/>
      </w:pPr>
    </w:p>
    <w:p>
      <w:pPr>
        <w:keepNext/>
        <w:spacing w:before="120"/>
        <w:jc w:val="center"/>
      </w:pPr>
      <w:r>
        <w:drawing>
          <wp:inline distT="0" distB="0" distL="0" distR="0">
            <wp:extent cx="4381500" cy="1943100"/>
            <wp:effectExtent t="0" r="0" b="0" l="0"/>
            <wp:docPr id="1" name="fig16_dl_cv_walkforward.png" descr="Figure 14 — RMSE par pli (barres) et baseline naïve (pointillés)" title="Figure 14 — RMSE par pli (barres) et baseline naïve (pointillé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381500" cy="1943100"/>
                    </a:xfrm>
                    <a:prstGeom prst="rect">
                      <a:avLst/>
                    </a:prstGeom>
                  </pic:spPr>
                </pic:pic>
              </a:graphicData>
            </a:graphic>
          </wp:inline>
        </w:drawing>
      </w:r>
    </w:p>
    <w:p>
      <w:pPr>
        <w:spacing w:after="200" w:before="60"/>
        <w:jc w:val="center"/>
      </w:pPr>
      <w:r>
        <w:rPr>
          <w:rFonts w:ascii="Calibri" w:cs="Calibri" w:eastAsia="Calibri" w:hAnsi="Calibri"/>
          <w:i/>
          <w:iCs/>
          <w:color w:val="595959"/>
          <w:sz w:val="18"/>
          <w:szCs w:val="18"/>
        </w:rPr>
        <w:t xml:space="preserve">Figure 14 — RMSE par pli (barres) et baseline naïve (pointillés)</w:t>
      </w:r>
    </w:p>
    <w:p>
      <w:pPr>
        <w:spacing w:after="120" w:line="276"/>
        <w:jc w:val="both"/>
      </w:pPr>
      <w:r>
        <w:rPr>
          <w:rFonts w:ascii="Calibri" w:cs="Calibri" w:eastAsia="Calibri" w:hAnsi="Calibri"/>
          <w:sz w:val="22"/>
          <w:szCs w:val="22"/>
        </w:rPr>
        <w:t xml:space="preserve">Les moyennes sont de 0,0393 pour le LSTM, 0,0396 pour le GRU et 0,0393 pour la baseline : </w:t>
      </w:r>
      <w:r>
        <w:rPr>
          <w:rFonts w:ascii="Calibri" w:cs="Calibri" w:eastAsia="Calibri" w:hAnsi="Calibri"/>
          <w:b/>
          <w:bCs/>
          <w:sz w:val="22"/>
          <w:szCs w:val="22"/>
        </w:rPr>
        <w:t xml:space="preserve">les réseaux ne font pas mieux que la marche aléatoire</w:t>
      </w:r>
      <w:r>
        <w:rPr>
          <w:rFonts w:ascii="Calibri" w:cs="Calibri" w:eastAsia="Calibri" w:hAnsi="Calibri"/>
          <w:sz w:val="22"/>
          <w:szCs w:val="22"/>
        </w:rPr>
        <w:t xml:space="preserve">, ils gagnent sur certains plis et perdent sur d'autres, à des écarts de l'ordre de 1 %. Le premier pli est nettement plus difficile pour tous (RMSE ≈ 0,075, y compris pour la baseline), ce qui reflète la période d'apprentissage la plus courte et la plus agitée. Ce résultat est cohérent avec l'hypothèse d'efficience faible des marchés : les rendements passés, même combinés à ceux de PEP et à la volatilité, contiennent très peu d'information exploitable à 10 jours.</w:t>
      </w:r>
    </w:p>
    <w:p>
      <w:pPr>
        <w:pStyle w:val="Heading1"/>
        <w:keepNext/>
        <w:spacing w:after="160" w:before="360"/>
      </w:pPr>
      <w:r>
        <w:rPr>
          <w:rFonts w:ascii="Calibri" w:cs="Calibri" w:eastAsia="Calibri" w:hAnsi="Calibri"/>
          <w:b/>
          <w:bCs/>
          <w:color w:val="1F3864"/>
          <w:sz w:val="32"/>
          <w:szCs w:val="32"/>
        </w:rPr>
        <w:t xml:space="preserve">6. Prévision et évaluation comparative</w:t>
      </w:r>
    </w:p>
    <w:p>
      <w:pPr>
        <w:spacing w:after="120" w:line="276"/>
        <w:jc w:val="both"/>
      </w:pPr>
      <w:r>
        <w:rPr>
          <w:rFonts w:ascii="Calibri" w:cs="Calibri" w:eastAsia="Calibri" w:hAnsi="Calibri"/>
          <w:sz w:val="22"/>
          <w:szCs w:val="22"/>
        </w:rPr>
        <w:t xml:space="preserve">Tous les modèles sont évalués sur les mêmes 15 blocs de 10 séances du test, en prix de KO (USD). Les modèles économétriques (ARIMA, SARIMA, VAR, VECM) sont ré-estimés à chaque origine, alors que les réseaux sont entraînés une seule fois sur l'apprentissage : cette asymétrie, qui avantage plutôt les modèles classiques, est signalée dans les limites. La baseline naïve prolonge le dernier cours observé.</w:t>
      </w:r>
    </w:p>
    <w:p>
      <w:pPr>
        <w:keepNext/>
        <w:spacing w:after="80" w:before="120"/>
      </w:pPr>
      <w:r>
        <w:rPr>
          <w:rFonts w:ascii="Calibri" w:cs="Calibri" w:eastAsia="Calibri" w:hAnsi="Calibri"/>
          <w:i/>
          <w:iCs/>
          <w:color w:val="595959"/>
          <w:sz w:val="18"/>
          <w:szCs w:val="18"/>
        </w:rPr>
        <w:t xml:space="preserve">Tableau 9 — Tableau récapitulatif unique : métriques de prévision à h = 10 (triés par RMSE)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900"/>
        <w:gridCol w:w="1100"/>
        <w:gridCol w:w="1100"/>
        <w:gridCol w:w="1100"/>
        <w:gridCol w:w="1000"/>
        <w:gridCol w:w="2938"/>
      </w:tblGrid>
      <w:tr>
        <w:trPr>
          <w:tblHeader/>
        </w:trPr>
        <w:tc>
          <w:tcPr>
            <w:tcW w:type="dxa" w:w="15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jc w:val="center"/>
            </w:pPr>
            <w:r>
              <w:rPr>
                <w:rFonts w:ascii="Calibri" w:cs="Calibri" w:eastAsia="Calibri" w:hAnsi="Calibri"/>
                <w:b/>
                <w:bCs/>
                <w:color w:val="FFFFFF"/>
                <w:sz w:val="16"/>
                <w:szCs w:val="16"/>
              </w:rPr>
              <w:t xml:space="preserve">Modèle</w:t>
            </w:r>
          </w:p>
        </w:tc>
        <w:tc>
          <w:tcPr>
            <w:tcW w:type="dxa" w:w="9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jc w:val="center"/>
            </w:pPr>
            <w:r>
              <w:rPr>
                <w:rFonts w:ascii="Calibri" w:cs="Calibri" w:eastAsia="Calibri" w:hAnsi="Calibri"/>
                <w:b/>
                <w:bCs/>
                <w:color w:val="FFFFFF"/>
                <w:sz w:val="16"/>
                <w:szCs w:val="16"/>
              </w:rPr>
              <w:t xml:space="preserve">MSE</w:t>
            </w:r>
          </w:p>
        </w:tc>
        <w:tc>
          <w:tcPr>
            <w:tcW w:type="dxa" w:w="11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jc w:val="center"/>
            </w:pPr>
            <w:r>
              <w:rPr>
                <w:rFonts w:ascii="Calibri" w:cs="Calibri" w:eastAsia="Calibri" w:hAnsi="Calibri"/>
                <w:b/>
                <w:bCs/>
                <w:color w:val="FFFFFF"/>
                <w:sz w:val="16"/>
                <w:szCs w:val="16"/>
              </w:rPr>
              <w:t xml:space="preserve">RMSE ($)</w:t>
            </w:r>
          </w:p>
        </w:tc>
        <w:tc>
          <w:tcPr>
            <w:tcW w:type="dxa" w:w="11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jc w:val="center"/>
            </w:pPr>
            <w:r>
              <w:rPr>
                <w:rFonts w:ascii="Calibri" w:cs="Calibri" w:eastAsia="Calibri" w:hAnsi="Calibri"/>
                <w:b/>
                <w:bCs/>
                <w:color w:val="FFFFFF"/>
                <w:sz w:val="16"/>
                <w:szCs w:val="16"/>
              </w:rPr>
              <w:t xml:space="preserve">MAE ($)</w:t>
            </w:r>
          </w:p>
        </w:tc>
        <w:tc>
          <w:tcPr>
            <w:tcW w:type="dxa" w:w="11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jc w:val="center"/>
            </w:pPr>
            <w:r>
              <w:rPr>
                <w:rFonts w:ascii="Calibri" w:cs="Calibri" w:eastAsia="Calibri" w:hAnsi="Calibri"/>
                <w:b/>
                <w:bCs/>
                <w:color w:val="FFFFFF"/>
                <w:sz w:val="16"/>
                <w:szCs w:val="16"/>
              </w:rPr>
              <w:t xml:space="preserve">MAPE (%)</w:t>
            </w:r>
          </w:p>
        </w:tc>
        <w:tc>
          <w:tcPr>
            <w:tcW w:type="dxa" w:w="10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jc w:val="center"/>
            </w:pPr>
            <w:r>
              <w:rPr>
                <w:rFonts w:ascii="Calibri" w:cs="Calibri" w:eastAsia="Calibri" w:hAnsi="Calibri"/>
                <w:b/>
                <w:bCs/>
                <w:color w:val="FFFFFF"/>
                <w:sz w:val="16"/>
                <w:szCs w:val="16"/>
              </w:rPr>
              <w:t xml:space="preserve">Temps (s)</w:t>
            </w:r>
          </w:p>
        </w:tc>
        <w:tc>
          <w:tcPr>
            <w:tcW w:type="dxa" w:w="2938"/>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jc w:val="center"/>
            </w:pPr>
            <w:r>
              <w:rPr>
                <w:rFonts w:ascii="Calibri" w:cs="Calibri" w:eastAsia="Calibri" w:hAnsi="Calibri"/>
                <w:b/>
                <w:bCs/>
                <w:color w:val="FFFFFF"/>
                <w:sz w:val="16"/>
                <w:szCs w:val="16"/>
              </w:rPr>
              <w:t xml:space="preserve">Interprétabilité</w:t>
            </w:r>
          </w:p>
        </w:tc>
      </w:tr>
      <w:tr>
        <w:trPr>
          <w:cantSplit/>
        </w:trPr>
        <w:tc>
          <w:tcPr>
            <w:tcW w:type="dxa" w:w="1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6"/>
                <w:szCs w:val="16"/>
              </w:rPr>
              <w:t xml:space="preserve">GRU</w:t>
            </w:r>
          </w:p>
        </w:tc>
        <w:tc>
          <w:tcPr>
            <w:tcW w:type="dxa" w:w="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6"/>
                <w:szCs w:val="16"/>
              </w:rPr>
              <w:t xml:space="preserve">1,952</w:t>
            </w:r>
          </w:p>
        </w:tc>
        <w:tc>
          <w:tcPr>
            <w:tcW w:type="dxa" w:w="11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6"/>
                <w:szCs w:val="16"/>
              </w:rPr>
              <w:t xml:space="preserve">1,3970</w:t>
            </w:r>
          </w:p>
        </w:tc>
        <w:tc>
          <w:tcPr>
            <w:tcW w:type="dxa" w:w="11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6"/>
                <w:szCs w:val="16"/>
              </w:rPr>
              <w:t xml:space="preserve">1,0776</w:t>
            </w:r>
          </w:p>
        </w:tc>
        <w:tc>
          <w:tcPr>
            <w:tcW w:type="dxa" w:w="11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6"/>
                <w:szCs w:val="16"/>
              </w:rPr>
              <w:t xml:space="preserve">1,726</w:t>
            </w:r>
          </w:p>
        </w:tc>
        <w:tc>
          <w:tcPr>
            <w:tcW w:type="dxa" w:w="10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6"/>
                <w:szCs w:val="16"/>
              </w:rPr>
              <w:t xml:space="preserve">13,97</w:t>
            </w:r>
          </w:p>
        </w:tc>
        <w:tc>
          <w:tcPr>
            <w:tcW w:type="dxa" w:w="293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6"/>
                <w:szCs w:val="16"/>
              </w:rPr>
              <w:t xml:space="preserve">Faible (boîte noire)</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6"/>
                <w:szCs w:val="16"/>
              </w:rPr>
              <w:t xml:space="preserve">VAR</w:t>
            </w:r>
          </w:p>
        </w:tc>
        <w:tc>
          <w:tcPr>
            <w:tcW w:type="dxa" w:w="9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6"/>
                <w:szCs w:val="16"/>
              </w:rPr>
              <w:t xml:space="preserve">1,957</w:t>
            </w:r>
          </w:p>
        </w:tc>
        <w:tc>
          <w:tcPr>
            <w:tcW w:type="dxa" w:w="11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6"/>
                <w:szCs w:val="16"/>
              </w:rPr>
              <w:t xml:space="preserve">1,3988</w:t>
            </w:r>
          </w:p>
        </w:tc>
        <w:tc>
          <w:tcPr>
            <w:tcW w:type="dxa" w:w="11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6"/>
                <w:szCs w:val="16"/>
              </w:rPr>
              <w:t xml:space="preserve">1,0856</w:t>
            </w:r>
          </w:p>
        </w:tc>
        <w:tc>
          <w:tcPr>
            <w:tcW w:type="dxa" w:w="11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6"/>
                <w:szCs w:val="16"/>
              </w:rPr>
              <w:t xml:space="preserve">1,740</w:t>
            </w:r>
          </w:p>
        </w:tc>
        <w:tc>
          <w:tcPr>
            <w:tcW w:type="dxa" w:w="10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6"/>
                <w:szCs w:val="16"/>
              </w:rPr>
              <w:t xml:space="preserve">0,02</w:t>
            </w:r>
          </w:p>
        </w:tc>
        <w:tc>
          <w:tcPr>
            <w:tcW w:type="dxa" w:w="293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6"/>
                <w:szCs w:val="16"/>
              </w:rPr>
              <w:t xml:space="preserve">Élevée (Granger)</w:t>
            </w:r>
          </w:p>
        </w:tc>
      </w:tr>
      <w:tr>
        <w:trPr>
          <w:cantSplit/>
        </w:trPr>
        <w:tc>
          <w:tcPr>
            <w:tcW w:type="dxa" w:w="1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6"/>
                <w:szCs w:val="16"/>
              </w:rPr>
              <w:t xml:space="preserve">SARIMA</w:t>
            </w:r>
          </w:p>
        </w:tc>
        <w:tc>
          <w:tcPr>
            <w:tcW w:type="dxa" w:w="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6"/>
                <w:szCs w:val="16"/>
              </w:rPr>
              <w:t xml:space="preserve">1,966</w:t>
            </w:r>
          </w:p>
        </w:tc>
        <w:tc>
          <w:tcPr>
            <w:tcW w:type="dxa" w:w="11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6"/>
                <w:szCs w:val="16"/>
              </w:rPr>
              <w:t xml:space="preserve">1,4021</w:t>
            </w:r>
          </w:p>
        </w:tc>
        <w:tc>
          <w:tcPr>
            <w:tcW w:type="dxa" w:w="11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6"/>
                <w:szCs w:val="16"/>
              </w:rPr>
              <w:t xml:space="preserve">1,0716</w:t>
            </w:r>
          </w:p>
        </w:tc>
        <w:tc>
          <w:tcPr>
            <w:tcW w:type="dxa" w:w="11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6"/>
                <w:szCs w:val="16"/>
              </w:rPr>
              <w:t xml:space="preserve">1,713</w:t>
            </w:r>
          </w:p>
        </w:tc>
        <w:tc>
          <w:tcPr>
            <w:tcW w:type="dxa" w:w="10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6"/>
                <w:szCs w:val="16"/>
              </w:rPr>
              <w:t xml:space="preserve">0,38</w:t>
            </w:r>
          </w:p>
        </w:tc>
        <w:tc>
          <w:tcPr>
            <w:tcW w:type="dxa" w:w="293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6"/>
                <w:szCs w:val="16"/>
              </w:rPr>
              <w:t xml:space="preserve">Élevée</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6"/>
                <w:szCs w:val="16"/>
              </w:rPr>
              <w:t xml:space="preserve">ARIMA_auto</w:t>
            </w:r>
          </w:p>
        </w:tc>
        <w:tc>
          <w:tcPr>
            <w:tcW w:type="dxa" w:w="9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6"/>
                <w:szCs w:val="16"/>
              </w:rPr>
              <w:t xml:space="preserve">1,966</w:t>
            </w:r>
          </w:p>
        </w:tc>
        <w:tc>
          <w:tcPr>
            <w:tcW w:type="dxa" w:w="11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6"/>
                <w:szCs w:val="16"/>
              </w:rPr>
              <w:t xml:space="preserve">1,4021</w:t>
            </w:r>
          </w:p>
        </w:tc>
        <w:tc>
          <w:tcPr>
            <w:tcW w:type="dxa" w:w="11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6"/>
                <w:szCs w:val="16"/>
              </w:rPr>
              <w:t xml:space="preserve">1,0716</w:t>
            </w:r>
          </w:p>
        </w:tc>
        <w:tc>
          <w:tcPr>
            <w:tcW w:type="dxa" w:w="11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6"/>
                <w:szCs w:val="16"/>
              </w:rPr>
              <w:t xml:space="preserve">1,713</w:t>
            </w:r>
          </w:p>
        </w:tc>
        <w:tc>
          <w:tcPr>
            <w:tcW w:type="dxa" w:w="10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6"/>
                <w:szCs w:val="16"/>
              </w:rPr>
              <w:t xml:space="preserve">0,33</w:t>
            </w:r>
          </w:p>
        </w:tc>
        <w:tc>
          <w:tcPr>
            <w:tcW w:type="dxa" w:w="293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6"/>
                <w:szCs w:val="16"/>
              </w:rPr>
              <w:t xml:space="preserve">Élevée</w:t>
            </w:r>
          </w:p>
        </w:tc>
      </w:tr>
      <w:tr>
        <w:trPr>
          <w:cantSplit/>
        </w:trPr>
        <w:tc>
          <w:tcPr>
            <w:tcW w:type="dxa" w:w="1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6"/>
                <w:szCs w:val="16"/>
              </w:rPr>
              <w:t xml:space="preserve">naive</w:t>
            </w:r>
          </w:p>
        </w:tc>
        <w:tc>
          <w:tcPr>
            <w:tcW w:type="dxa" w:w="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6"/>
                <w:szCs w:val="16"/>
              </w:rPr>
              <w:t xml:space="preserve">1,971</w:t>
            </w:r>
          </w:p>
        </w:tc>
        <w:tc>
          <w:tcPr>
            <w:tcW w:type="dxa" w:w="11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6"/>
                <w:szCs w:val="16"/>
              </w:rPr>
              <w:t xml:space="preserve">1,4040</w:t>
            </w:r>
          </w:p>
        </w:tc>
        <w:tc>
          <w:tcPr>
            <w:tcW w:type="dxa" w:w="11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6"/>
                <w:szCs w:val="16"/>
              </w:rPr>
              <w:t xml:space="preserve">1,0798</w:t>
            </w:r>
          </w:p>
        </w:tc>
        <w:tc>
          <w:tcPr>
            <w:tcW w:type="dxa" w:w="11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6"/>
                <w:szCs w:val="16"/>
              </w:rPr>
              <w:t xml:space="preserve">1,726</w:t>
            </w:r>
          </w:p>
        </w:tc>
        <w:tc>
          <w:tcPr>
            <w:tcW w:type="dxa" w:w="10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6"/>
                <w:szCs w:val="16"/>
              </w:rPr>
              <w:t xml:space="preserve">—</w:t>
            </w:r>
          </w:p>
        </w:tc>
        <w:tc>
          <w:tcPr>
            <w:tcW w:type="dxa" w:w="293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6"/>
                <w:szCs w:val="16"/>
              </w:rPr>
              <w:t xml:space="preserve">Totale</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6"/>
                <w:szCs w:val="16"/>
              </w:rPr>
              <w:t xml:space="preserve">ARIMA_manuel</w:t>
            </w:r>
          </w:p>
        </w:tc>
        <w:tc>
          <w:tcPr>
            <w:tcW w:type="dxa" w:w="9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6"/>
                <w:szCs w:val="16"/>
              </w:rPr>
              <w:t xml:space="preserve">1,977</w:t>
            </w:r>
          </w:p>
        </w:tc>
        <w:tc>
          <w:tcPr>
            <w:tcW w:type="dxa" w:w="11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6"/>
                <w:szCs w:val="16"/>
              </w:rPr>
              <w:t xml:space="preserve">1,4059</w:t>
            </w:r>
          </w:p>
        </w:tc>
        <w:tc>
          <w:tcPr>
            <w:tcW w:type="dxa" w:w="11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6"/>
                <w:szCs w:val="16"/>
              </w:rPr>
              <w:t xml:space="preserve">1,0805</w:t>
            </w:r>
          </w:p>
        </w:tc>
        <w:tc>
          <w:tcPr>
            <w:tcW w:type="dxa" w:w="11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6"/>
                <w:szCs w:val="16"/>
              </w:rPr>
              <w:t xml:space="preserve">1,729</w:t>
            </w:r>
          </w:p>
        </w:tc>
        <w:tc>
          <w:tcPr>
            <w:tcW w:type="dxa" w:w="10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6"/>
                <w:szCs w:val="16"/>
              </w:rPr>
              <w:t xml:space="preserve">2,55</w:t>
            </w:r>
          </w:p>
        </w:tc>
        <w:tc>
          <w:tcPr>
            <w:tcW w:type="dxa" w:w="293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6"/>
                <w:szCs w:val="16"/>
              </w:rPr>
              <w:t xml:space="preserve">Élevée</w:t>
            </w:r>
          </w:p>
        </w:tc>
      </w:tr>
      <w:tr>
        <w:trPr>
          <w:cantSplit/>
        </w:trPr>
        <w:tc>
          <w:tcPr>
            <w:tcW w:type="dxa" w:w="1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6"/>
                <w:szCs w:val="16"/>
              </w:rPr>
              <w:t xml:space="preserve">LSTM</w:t>
            </w:r>
          </w:p>
        </w:tc>
        <w:tc>
          <w:tcPr>
            <w:tcW w:type="dxa" w:w="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6"/>
                <w:szCs w:val="16"/>
              </w:rPr>
              <w:t xml:space="preserve">1,983</w:t>
            </w:r>
          </w:p>
        </w:tc>
        <w:tc>
          <w:tcPr>
            <w:tcW w:type="dxa" w:w="11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6"/>
                <w:szCs w:val="16"/>
              </w:rPr>
              <w:t xml:space="preserve">1,4081</w:t>
            </w:r>
          </w:p>
        </w:tc>
        <w:tc>
          <w:tcPr>
            <w:tcW w:type="dxa" w:w="11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6"/>
                <w:szCs w:val="16"/>
              </w:rPr>
              <w:t xml:space="preserve">1,0690</w:t>
            </w:r>
          </w:p>
        </w:tc>
        <w:tc>
          <w:tcPr>
            <w:tcW w:type="dxa" w:w="11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6"/>
                <w:szCs w:val="16"/>
              </w:rPr>
              <w:t xml:space="preserve">1,712</w:t>
            </w:r>
          </w:p>
        </w:tc>
        <w:tc>
          <w:tcPr>
            <w:tcW w:type="dxa" w:w="10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6"/>
                <w:szCs w:val="16"/>
              </w:rPr>
              <w:t xml:space="preserve">12,13</w:t>
            </w:r>
          </w:p>
        </w:tc>
        <w:tc>
          <w:tcPr>
            <w:tcW w:type="dxa" w:w="293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6"/>
                <w:szCs w:val="16"/>
              </w:rPr>
              <w:t xml:space="preserve">Faible (boîte noire)</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6"/>
                <w:szCs w:val="16"/>
              </w:rPr>
              <w:t xml:space="preserve">VECM</w:t>
            </w:r>
          </w:p>
        </w:tc>
        <w:tc>
          <w:tcPr>
            <w:tcW w:type="dxa" w:w="9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6"/>
                <w:szCs w:val="16"/>
              </w:rPr>
              <w:t xml:space="preserve">2,290</w:t>
            </w:r>
          </w:p>
        </w:tc>
        <w:tc>
          <w:tcPr>
            <w:tcW w:type="dxa" w:w="11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6"/>
                <w:szCs w:val="16"/>
              </w:rPr>
              <w:t xml:space="preserve">1,5133</w:t>
            </w:r>
          </w:p>
        </w:tc>
        <w:tc>
          <w:tcPr>
            <w:tcW w:type="dxa" w:w="11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6"/>
                <w:szCs w:val="16"/>
              </w:rPr>
              <w:t xml:space="preserve">1,1508</w:t>
            </w:r>
          </w:p>
        </w:tc>
        <w:tc>
          <w:tcPr>
            <w:tcW w:type="dxa" w:w="11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6"/>
                <w:szCs w:val="16"/>
              </w:rPr>
              <w:t xml:space="preserve">1,834</w:t>
            </w:r>
          </w:p>
        </w:tc>
        <w:tc>
          <w:tcPr>
            <w:tcW w:type="dxa" w:w="10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6"/>
                <w:szCs w:val="16"/>
              </w:rPr>
              <w:t xml:space="preserve">0,01</w:t>
            </w:r>
          </w:p>
        </w:tc>
        <w:tc>
          <w:tcPr>
            <w:tcW w:type="dxa" w:w="293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6"/>
                <w:szCs w:val="16"/>
              </w:rPr>
              <w:t xml:space="preserve">Élevée (équilibre LT)</w:t>
            </w:r>
          </w:p>
        </w:tc>
      </w:tr>
    </w:tbl>
    <w:p>
      <w:pPr>
        <w:spacing w:after="80"/>
      </w:pPr>
    </w:p>
    <w:p>
      <w:pPr>
        <w:keepNext/>
        <w:spacing w:before="120"/>
        <w:jc w:val="center"/>
      </w:pPr>
      <w:r>
        <w:drawing>
          <wp:inline distT="0" distB="0" distL="0" distR="0">
            <wp:extent cx="5715000" cy="2381250"/>
            <wp:effectExtent t="0" r="0" b="0" l="0"/>
            <wp:docPr id="1" name="fig17_previsions_test.png" descr="Figure 15 — Prévisions h = 10 de chaque modèle sur l'échantillon test, comparées aux prix observés" title="Figure 15 — Prévisions h = 10 de chaque modèle sur l'échantillon test, comparées aux prix observé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2381250"/>
                    </a:xfrm>
                    <a:prstGeom prst="rect">
                      <a:avLst/>
                    </a:prstGeom>
                  </pic:spPr>
                </pic:pic>
              </a:graphicData>
            </a:graphic>
          </wp:inline>
        </w:drawing>
      </w:r>
    </w:p>
    <w:p>
      <w:pPr>
        <w:spacing w:after="200" w:before="60"/>
        <w:jc w:val="center"/>
      </w:pPr>
      <w:r>
        <w:rPr>
          <w:rFonts w:ascii="Calibri" w:cs="Calibri" w:eastAsia="Calibri" w:hAnsi="Calibri"/>
          <w:i/>
          <w:iCs/>
          <w:color w:val="595959"/>
          <w:sz w:val="18"/>
          <w:szCs w:val="18"/>
        </w:rPr>
        <w:t xml:space="preserve">Figure 15 — Prévisions h = 10 de chaque modèle sur l'échantillon test, comparées aux prix observés</w:t>
      </w:r>
    </w:p>
    <w:p>
      <w:pPr>
        <w:spacing w:after="120" w:line="276"/>
        <w:jc w:val="both"/>
      </w:pPr>
      <w:r>
        <w:rPr>
          <w:rFonts w:ascii="Calibri" w:cs="Calibri" w:eastAsia="Calibri" w:hAnsi="Calibri"/>
          <w:sz w:val="22"/>
          <w:szCs w:val="22"/>
        </w:rPr>
        <w:t xml:space="preserve">Les écarts de performance sont minuscules : du GRU (1,397 $) à la baseline (1,404 $), moins de 0,5 % de RMSE. Le classement dépend de la métrique : le GRU est premier au RMSE/MSE, le LSTM au MAE (1,069 $) et au MAPE (1,712 %). Seul le VECM se détache nettement, vers le bas (1,513 $). Les métriques brutes ne suffisent donc pas : il faut tester la significativité.</w:t>
      </w:r>
    </w:p>
    <w:p>
      <w:pPr>
        <w:keepNext/>
        <w:spacing w:after="80" w:before="120"/>
      </w:pPr>
      <w:r>
        <w:rPr>
          <w:rFonts w:ascii="Calibri" w:cs="Calibri" w:eastAsia="Calibri" w:hAnsi="Calibri"/>
          <w:i/>
          <w:iCs/>
          <w:color w:val="595959"/>
          <w:sz w:val="18"/>
          <w:szCs w:val="18"/>
        </w:rPr>
        <w:t xml:space="preserve">Tableau 10 — Test de Diebold-Mariano contre la baseline naïve (perte quadratique, variance de Newey-West, correction HLN)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700"/>
        <w:gridCol w:w="3738"/>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jc w:val="center"/>
            </w:pPr>
            <w:r>
              <w:rPr>
                <w:rFonts w:ascii="Calibri" w:cs="Calibri" w:eastAsia="Calibri" w:hAnsi="Calibri"/>
                <w:b/>
                <w:bCs/>
                <w:color w:val="FFFFFF"/>
                <w:sz w:val="17"/>
                <w:szCs w:val="17"/>
              </w:rPr>
              <w:t xml:space="preserve">Modèle</w:t>
            </w:r>
          </w:p>
        </w:tc>
        <w:tc>
          <w:tcPr>
            <w:tcW w:type="dxa" w:w="20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jc w:val="center"/>
            </w:pPr>
            <w:r>
              <w:rPr>
                <w:rFonts w:ascii="Calibri" w:cs="Calibri" w:eastAsia="Calibri" w:hAnsi="Calibri"/>
                <w:b/>
                <w:bCs/>
                <w:color w:val="FFFFFF"/>
                <w:sz w:val="17"/>
                <w:szCs w:val="17"/>
              </w:rPr>
              <w:t xml:space="preserve">Statistique DM</w:t>
            </w:r>
          </w:p>
        </w:tc>
        <w:tc>
          <w:tcPr>
            <w:tcW w:type="dxa" w:w="17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jc w:val="center"/>
            </w:pPr>
            <w:r>
              <w:rPr>
                <w:rFonts w:ascii="Calibri" w:cs="Calibri" w:eastAsia="Calibri" w:hAnsi="Calibri"/>
                <w:b/>
                <w:bCs/>
                <w:color w:val="FFFFFF"/>
                <w:sz w:val="17"/>
                <w:szCs w:val="17"/>
              </w:rPr>
              <w:t xml:space="preserve">p-value</w:t>
            </w:r>
          </w:p>
        </w:tc>
        <w:tc>
          <w:tcPr>
            <w:tcW w:type="dxa" w:w="3738"/>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jc w:val="center"/>
            </w:pPr>
            <w:r>
              <w:rPr>
                <w:rFonts w:ascii="Calibri" w:cs="Calibri" w:eastAsia="Calibri" w:hAnsi="Calibri"/>
                <w:b/>
                <w:bCs/>
                <w:color w:val="FFFFFF"/>
                <w:sz w:val="17"/>
                <w:szCs w:val="17"/>
              </w:rPr>
              <w:t xml:space="preserve">Conclusion</w:t>
            </w:r>
          </w:p>
        </w:tc>
      </w:tr>
      <w:tr>
        <w:trPr>
          <w:cantSplit/>
        </w:trPr>
        <w:tc>
          <w:tcPr>
            <w:tcW w:type="dxa" w:w="22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7"/>
                <w:szCs w:val="17"/>
              </w:rPr>
              <w:t xml:space="preserve">ARIMA_manuel</w:t>
            </w:r>
          </w:p>
        </w:tc>
        <w:tc>
          <w:tcPr>
            <w:tcW w:type="dxa" w:w="20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7"/>
                <w:szCs w:val="17"/>
              </w:rPr>
              <w:t xml:space="preserve">-0,189</w:t>
            </w:r>
          </w:p>
        </w:tc>
        <w:tc>
          <w:tcPr>
            <w:tcW w:type="dxa" w:w="17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7"/>
                <w:szCs w:val="17"/>
              </w:rPr>
              <w:t xml:space="preserve">0,8504</w:t>
            </w:r>
          </w:p>
        </w:tc>
        <w:tc>
          <w:tcPr>
            <w:tcW w:type="dxa" w:w="373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7"/>
                <w:szCs w:val="17"/>
              </w:rPr>
              <w:t xml:space="preserve">moins bien — non significatif</w:t>
            </w:r>
          </w:p>
        </w:tc>
      </w:tr>
      <w:tr>
        <w:trPr>
          <w:cantSplit/>
        </w:trPr>
        <w:tc>
          <w:tcPr>
            <w:tcW w:type="dxa" w:w="22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7"/>
                <w:szCs w:val="17"/>
              </w:rPr>
              <w:t xml:space="preserve">ARIMA_auto</w:t>
            </w:r>
          </w:p>
        </w:tc>
        <w:tc>
          <w:tcPr>
            <w:tcW w:type="dxa" w:w="20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7"/>
                <w:szCs w:val="17"/>
              </w:rPr>
              <w:t xml:space="preserve">0,188</w:t>
            </w:r>
          </w:p>
        </w:tc>
        <w:tc>
          <w:tcPr>
            <w:tcW w:type="dxa" w:w="17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7"/>
                <w:szCs w:val="17"/>
              </w:rPr>
              <w:t xml:space="preserve">0,8509</w:t>
            </w:r>
          </w:p>
        </w:tc>
        <w:tc>
          <w:tcPr>
            <w:tcW w:type="dxa" w:w="373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7"/>
                <w:szCs w:val="17"/>
              </w:rPr>
              <w:t xml:space="preserve">mieux — non significatif</w:t>
            </w:r>
          </w:p>
        </w:tc>
      </w:tr>
      <w:tr>
        <w:trPr>
          <w:cantSplit/>
        </w:trPr>
        <w:tc>
          <w:tcPr>
            <w:tcW w:type="dxa" w:w="22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7"/>
                <w:szCs w:val="17"/>
              </w:rPr>
              <w:t xml:space="preserve">SARIMA</w:t>
            </w:r>
          </w:p>
        </w:tc>
        <w:tc>
          <w:tcPr>
            <w:tcW w:type="dxa" w:w="20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7"/>
                <w:szCs w:val="17"/>
              </w:rPr>
              <w:t xml:space="preserve">0,188</w:t>
            </w:r>
          </w:p>
        </w:tc>
        <w:tc>
          <w:tcPr>
            <w:tcW w:type="dxa" w:w="17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7"/>
                <w:szCs w:val="17"/>
              </w:rPr>
              <w:t xml:space="preserve">0,8509</w:t>
            </w:r>
          </w:p>
        </w:tc>
        <w:tc>
          <w:tcPr>
            <w:tcW w:type="dxa" w:w="373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7"/>
                <w:szCs w:val="17"/>
              </w:rPr>
              <w:t xml:space="preserve">mieux — non significatif</w:t>
            </w:r>
          </w:p>
        </w:tc>
      </w:tr>
      <w:tr>
        <w:trPr>
          <w:cantSplit/>
        </w:trPr>
        <w:tc>
          <w:tcPr>
            <w:tcW w:type="dxa" w:w="22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7"/>
                <w:szCs w:val="17"/>
              </w:rPr>
              <w:t xml:space="preserve">VAR</w:t>
            </w:r>
          </w:p>
        </w:tc>
        <w:tc>
          <w:tcPr>
            <w:tcW w:type="dxa" w:w="20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7"/>
                <w:szCs w:val="17"/>
              </w:rPr>
              <w:t xml:space="preserve">0,162</w:t>
            </w:r>
          </w:p>
        </w:tc>
        <w:tc>
          <w:tcPr>
            <w:tcW w:type="dxa" w:w="17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7"/>
                <w:szCs w:val="17"/>
              </w:rPr>
              <w:t xml:space="preserve">0,8715</w:t>
            </w:r>
          </w:p>
        </w:tc>
        <w:tc>
          <w:tcPr>
            <w:tcW w:type="dxa" w:w="373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7"/>
                <w:szCs w:val="17"/>
              </w:rPr>
              <w:t xml:space="preserve">mieux — non significatif</w:t>
            </w:r>
          </w:p>
        </w:tc>
      </w:tr>
      <w:tr>
        <w:trPr>
          <w:cantSplit/>
        </w:trPr>
        <w:tc>
          <w:tcPr>
            <w:tcW w:type="dxa" w:w="22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7"/>
                <w:szCs w:val="17"/>
              </w:rPr>
              <w:t xml:space="preserve">VECM</w:t>
            </w:r>
          </w:p>
        </w:tc>
        <w:tc>
          <w:tcPr>
            <w:tcW w:type="dxa" w:w="20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7"/>
                <w:szCs w:val="17"/>
              </w:rPr>
              <w:t xml:space="preserve">-1,794</w:t>
            </w:r>
          </w:p>
        </w:tc>
        <w:tc>
          <w:tcPr>
            <w:tcW w:type="dxa" w:w="17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7"/>
                <w:szCs w:val="17"/>
              </w:rPr>
              <w:t xml:space="preserve">0,0749</w:t>
            </w:r>
          </w:p>
        </w:tc>
        <w:tc>
          <w:tcPr>
            <w:tcW w:type="dxa" w:w="373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7"/>
                <w:szCs w:val="17"/>
              </w:rPr>
              <w:t xml:space="preserve">moins bien — non significatif</w:t>
            </w:r>
          </w:p>
        </w:tc>
      </w:tr>
      <w:tr>
        <w:trPr>
          <w:cantSplit/>
        </w:trPr>
        <w:tc>
          <w:tcPr>
            <w:tcW w:type="dxa" w:w="22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7"/>
                <w:szCs w:val="17"/>
              </w:rPr>
              <w:t xml:space="preserve">LSTM</w:t>
            </w:r>
          </w:p>
        </w:tc>
        <w:tc>
          <w:tcPr>
            <w:tcW w:type="dxa" w:w="20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7"/>
                <w:szCs w:val="17"/>
              </w:rPr>
              <w:t xml:space="preserve">-0,083</w:t>
            </w:r>
          </w:p>
        </w:tc>
        <w:tc>
          <w:tcPr>
            <w:tcW w:type="dxa" w:w="17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7"/>
                <w:szCs w:val="17"/>
              </w:rPr>
              <w:t xml:space="preserve">0,9342</w:t>
            </w:r>
          </w:p>
        </w:tc>
        <w:tc>
          <w:tcPr>
            <w:tcW w:type="dxa" w:w="373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7"/>
                <w:szCs w:val="17"/>
              </w:rPr>
              <w:t xml:space="preserve">moins bien — non significatif</w:t>
            </w:r>
          </w:p>
        </w:tc>
      </w:tr>
      <w:tr>
        <w:trPr>
          <w:cantSplit/>
        </w:trPr>
        <w:tc>
          <w:tcPr>
            <w:tcW w:type="dxa" w:w="22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7"/>
                <w:szCs w:val="17"/>
              </w:rPr>
              <w:t xml:space="preserve">GRU</w:t>
            </w:r>
          </w:p>
        </w:tc>
        <w:tc>
          <w:tcPr>
            <w:tcW w:type="dxa" w:w="20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7"/>
                <w:szCs w:val="17"/>
              </w:rPr>
              <w:t xml:space="preserve">0,230</w:t>
            </w:r>
          </w:p>
        </w:tc>
        <w:tc>
          <w:tcPr>
            <w:tcW w:type="dxa" w:w="17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7"/>
                <w:szCs w:val="17"/>
              </w:rPr>
              <w:t xml:space="preserve">0,8187</w:t>
            </w:r>
          </w:p>
        </w:tc>
        <w:tc>
          <w:tcPr>
            <w:tcW w:type="dxa" w:w="373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jc w:val="center"/>
            </w:pPr>
            <w:r>
              <w:rPr>
                <w:rFonts w:ascii="Calibri" w:cs="Calibri" w:eastAsia="Calibri" w:hAnsi="Calibri"/>
                <w:b w:val="false"/>
                <w:bCs w:val="false"/>
                <w:color w:val="000000"/>
                <w:sz w:val="17"/>
                <w:szCs w:val="17"/>
              </w:rPr>
              <w:t xml:space="preserve">mieux — non significatif</w:t>
            </w:r>
          </w:p>
        </w:tc>
      </w:tr>
    </w:tbl>
    <w:p>
      <w:pPr>
        <w:spacing w:after="80"/>
      </w:pPr>
    </w:p>
    <w:p>
      <w:pPr>
        <w:keepNext/>
        <w:spacing w:before="120"/>
        <w:jc w:val="center"/>
      </w:pPr>
      <w:r>
        <w:drawing>
          <wp:inline distT="0" distB="0" distL="0" distR="0">
            <wp:extent cx="3810000" cy="3267075"/>
            <wp:effectExtent t="0" r="0" b="0" l="0"/>
            <wp:docPr id="1" name="fig19_dm_pvalues.png" descr="Figure 16 — p-values du test de Diebold-Mariano pour toutes les paires de modèles" title="Figure 16 — p-values du test de Diebold-Mariano pour toutes les paires de modè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810000" cy="3267075"/>
                    </a:xfrm>
                    <a:prstGeom prst="rect">
                      <a:avLst/>
                    </a:prstGeom>
                  </pic:spPr>
                </pic:pic>
              </a:graphicData>
            </a:graphic>
          </wp:inline>
        </w:drawing>
      </w:r>
    </w:p>
    <w:p>
      <w:pPr>
        <w:spacing w:after="200" w:before="60"/>
        <w:jc w:val="center"/>
      </w:pPr>
      <w:r>
        <w:rPr>
          <w:rFonts w:ascii="Calibri" w:cs="Calibri" w:eastAsia="Calibri" w:hAnsi="Calibri"/>
          <w:i/>
          <w:iCs/>
          <w:color w:val="595959"/>
          <w:sz w:val="18"/>
          <w:szCs w:val="18"/>
        </w:rPr>
        <w:t xml:space="preserve">Figure 16 — p-values du test de Diebold-Mariano pour toutes les paires de modèles</w:t>
      </w:r>
    </w:p>
    <w:p>
      <w:pPr>
        <w:spacing w:after="120" w:line="276"/>
        <w:jc w:val="both"/>
      </w:pPr>
      <w:r>
        <w:rPr>
          <w:rFonts w:ascii="Calibri" w:cs="Calibri" w:eastAsia="Calibri" w:hAnsi="Calibri"/>
          <w:b/>
          <w:bCs/>
          <w:sz w:val="22"/>
          <w:szCs w:val="22"/>
        </w:rPr>
        <w:t xml:space="preserve">Aucune différence n'est significative au seuil de 5 %</w:t>
      </w:r>
      <w:r>
        <w:rPr>
          <w:rFonts w:ascii="Calibri" w:cs="Calibri" w:eastAsia="Calibri" w:hAnsi="Calibri"/>
          <w:sz w:val="22"/>
          <w:szCs w:val="22"/>
        </w:rPr>
        <w:t xml:space="preserve"> : la plus faible p-value oppose le VECM à la baseline (0,075), et correspond à un modèle moins bon. Les p-values proches de 0,9 pour les autres modèles indiquent qu'ils sont statistiquement indiscernables de la marche aléatoire. Le pouvoir du test est limité par la taille de l'échantillon test (151 séances, 15 blocs) : l'absence de significativité n'est pas la preuve d'une égalité parfaite, mais aucun modèle ne démontre un gain.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2E75B6" w:sz="24"/>
              <w:bottom w:val="single" w:color="BFBFBF" w:sz="4"/>
              <w:right w:val="single" w:color="BFBFBF" w:sz="4"/>
            </w:tcBorders>
            <w:shd w:fill="DEEAF6" w:color="auto" w:val="clear"/>
            <w:tcMar>
              <w:top w:type="dxa" w:w="100"/>
              <w:left w:type="dxa" w:w="160"/>
              <w:bottom w:type="dxa" w:w="100"/>
              <w:right w:type="dxa" w:w="140"/>
            </w:tcMar>
          </w:tcPr>
          <w:p>
            <w:pPr>
              <w:spacing w:after="60"/>
            </w:pPr>
            <w:r>
              <w:rPr>
                <w:rFonts w:ascii="Calibri" w:cs="Calibri" w:eastAsia="Calibri" w:hAnsi="Calibri"/>
                <w:b/>
                <w:bCs/>
                <w:color w:val="1F3864"/>
                <w:sz w:val="22"/>
                <w:szCs w:val="22"/>
              </w:rPr>
              <w:t xml:space="preserve">Conclusion sur le meilleur modèle selon le cas d'usage</w:t>
            </w:r>
          </w:p>
          <w:p>
            <w:pPr>
              <w:spacing w:line="264"/>
            </w:pPr>
            <w:r>
              <w:rPr>
                <w:rFonts w:ascii="Calibri" w:cs="Calibri" w:eastAsia="Calibri" w:hAnsi="Calibri"/>
                <w:b/>
                <w:bCs/>
                <w:sz w:val="22"/>
                <w:szCs w:val="22"/>
              </w:rPr>
              <w:t xml:space="preserve">Prévision du prix de KO à 10 jours :</w:t>
            </w:r>
            <w:r>
              <w:rPr>
                <w:rFonts w:ascii="Calibri" w:cs="Calibri" w:eastAsia="Calibri" w:hAnsi="Calibri"/>
                <w:sz w:val="22"/>
                <w:szCs w:val="22"/>
              </w:rPr>
              <w:t xml:space="preserve"> la baseline naïve ou l'</w:t>
            </w:r>
            <w:r>
              <w:rPr>
                <w:rFonts w:ascii="Calibri" w:cs="Calibri" w:eastAsia="Calibri" w:hAnsi="Calibri"/>
                <w:b/>
                <w:bCs/>
                <w:sz w:val="22"/>
                <w:szCs w:val="22"/>
              </w:rPr>
              <w:t xml:space="preserve">ARIMA(1,1,4)</w:t>
            </w:r>
            <w:r>
              <w:rPr>
                <w:rFonts w:ascii="Calibri" w:cs="Calibri" w:eastAsia="Calibri" w:hAnsi="Calibri"/>
                <w:sz w:val="22"/>
                <w:szCs w:val="22"/>
              </w:rPr>
              <w:t xml:space="preserve"> (interprétable, 0,3 s) ; le GRU a le meilleur RMSE mais son avantage est nul statistiquement, il est opaque et 40 fois plus coûteux à calculer. </w:t>
            </w:r>
            <w:r>
              <w:rPr>
                <w:rFonts w:ascii="Calibri" w:cs="Calibri" w:eastAsia="Calibri" w:hAnsi="Calibri"/>
                <w:b/>
                <w:bCs/>
                <w:sz w:val="22"/>
                <w:szCs w:val="22"/>
              </w:rPr>
              <w:t xml:space="preserve">Mesure du risque :</w:t>
            </w:r>
            <w:r>
              <w:rPr>
                <w:rFonts w:ascii="Calibri" w:cs="Calibri" w:eastAsia="Calibri" w:hAnsi="Calibri"/>
                <w:sz w:val="22"/>
                <w:szCs w:val="22"/>
              </w:rPr>
              <w:t xml:space="preserve"> le </w:t>
            </w:r>
            <w:r>
              <w:rPr>
                <w:rFonts w:ascii="Calibri" w:cs="Calibri" w:eastAsia="Calibri" w:hAnsi="Calibri"/>
                <w:b/>
                <w:bCs/>
                <w:sz w:val="22"/>
                <w:szCs w:val="22"/>
              </w:rPr>
              <w:t xml:space="preserve">GARCH(1,1)-t</w:t>
            </w:r>
            <w:r>
              <w:rPr>
                <w:rFonts w:ascii="Calibri" w:cs="Calibri" w:eastAsia="Calibri" w:hAnsi="Calibri"/>
                <w:sz w:val="22"/>
                <w:szCs w:val="22"/>
              </w:rPr>
              <w:t xml:space="preserve">, seul modèle dont le diagnostic est validé (résidus standardisés homoscédastiques) et qui apporte une information réelle (régimes de volatilité). </w:t>
            </w:r>
            <w:r>
              <w:rPr>
                <w:rFonts w:ascii="Calibri" w:cs="Calibri" w:eastAsia="Calibri" w:hAnsi="Calibri"/>
                <w:b/>
                <w:bCs/>
                <w:sz w:val="22"/>
                <w:szCs w:val="22"/>
              </w:rPr>
              <w:t xml:space="preserve">Compréhension du lien entre les deux titres :</w:t>
            </w:r>
            <w:r>
              <w:rPr>
                <w:rFonts w:ascii="Calibri" w:cs="Calibri" w:eastAsia="Calibri" w:hAnsi="Calibri"/>
                <w:sz w:val="22"/>
                <w:szCs w:val="22"/>
              </w:rPr>
              <w:t xml:space="preserve"> le </w:t>
            </w:r>
            <w:r>
              <w:rPr>
                <w:rFonts w:ascii="Calibri" w:cs="Calibri" w:eastAsia="Calibri" w:hAnsi="Calibri"/>
                <w:b/>
                <w:bCs/>
                <w:sz w:val="22"/>
                <w:szCs w:val="22"/>
              </w:rPr>
              <w:t xml:space="preserve">VECM</w:t>
            </w:r>
            <w:r>
              <w:rPr>
                <w:rFonts w:ascii="Calibri" w:cs="Calibri" w:eastAsia="Calibri" w:hAnsi="Calibri"/>
                <w:sz w:val="22"/>
                <w:szCs w:val="22"/>
              </w:rPr>
              <w:t xml:space="preserve"> (KO corrige 2,1 % de l'écart par jour), à ne pas utiliser pour prévoir le prix.</w:t>
            </w:r>
          </w:p>
        </w:tc>
      </w:tr>
    </w:tbl>
    <w:p>
      <w:pPr>
        <w:pStyle w:val="Heading1"/>
        <w:keepNext/>
        <w:spacing w:after="160" w:before="360"/>
      </w:pPr>
      <w:r>
        <w:rPr>
          <w:rFonts w:ascii="Calibri" w:cs="Calibri" w:eastAsia="Calibri" w:hAnsi="Calibri"/>
          <w:b/>
          <w:bCs/>
          <w:color w:val="1F3864"/>
          <w:sz w:val="32"/>
          <w:szCs w:val="32"/>
        </w:rPr>
        <w:t xml:space="preserve">7. Comparaison R / Python</w:t>
      </w:r>
    </w:p>
    <w:p>
      <w:pPr>
        <w:spacing w:after="120" w:line="276"/>
        <w:jc w:val="both"/>
      </w:pPr>
      <w:r>
        <w:rPr>
          <w:rFonts w:ascii="Calibri" w:cs="Calibri" w:eastAsia="Calibri" w:hAnsi="Calibri"/>
          <w:sz w:val="22"/>
          <w:szCs w:val="22"/>
        </w:rPr>
        <w:t xml:space="preserve">Le socle classique est implémenté dans les deux langages (Python : statsmodels et arch ; R : forecast, tseries, urca, vars, rugarch) sur les mêmes données et le même découpage 90/10. Le tableau ci-dessous compare les résultats. Les lignes marquées « Vérifié » ont été recalculées dans les deux langages sur des données strictement identiques ; les lignes « Vos exécutions » proviennent des fichiers de résultats du projet ; les lignes « À exporter » attendent la sortie R complète.</w:t>
      </w:r>
    </w:p>
    <w:p>
      <w:pPr>
        <w:keepNext/>
        <w:spacing w:after="80" w:before="120"/>
      </w:pPr>
      <w:r>
        <w:rPr>
          <w:rFonts w:ascii="Calibri" w:cs="Calibri" w:eastAsia="Calibri" w:hAnsi="Calibri"/>
          <w:i/>
          <w:iCs/>
          <w:color w:val="595959"/>
          <w:sz w:val="18"/>
          <w:szCs w:val="18"/>
        </w:rPr>
        <w:t xml:space="preserve">Tableau 11 — Comparaison des résultats R et Python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0"/>
        <w:gridCol w:w="1450"/>
        <w:gridCol w:w="1700"/>
        <w:gridCol w:w="1450"/>
        <w:gridCol w:w="2688"/>
        <w:gridCol w:w="1200"/>
      </w:tblGrid>
      <w:tr>
        <w:trPr>
          <w:tblHeader/>
        </w:trPr>
        <w:tc>
          <w:tcPr>
            <w:tcW w:type="dxa" w:w="115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jc w:val="center"/>
            </w:pPr>
            <w:r>
              <w:rPr>
                <w:rFonts w:ascii="Calibri" w:cs="Calibri" w:eastAsia="Calibri" w:hAnsi="Calibri"/>
                <w:b/>
                <w:bCs/>
                <w:color w:val="FFFFFF"/>
                <w:sz w:val="14"/>
                <w:szCs w:val="14"/>
              </w:rPr>
              <w:t xml:space="preserve">Étape</w:t>
            </w:r>
          </w:p>
        </w:tc>
        <w:tc>
          <w:tcPr>
            <w:tcW w:type="dxa" w:w="145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jc w:val="center"/>
            </w:pPr>
            <w:r>
              <w:rPr>
                <w:rFonts w:ascii="Calibri" w:cs="Calibri" w:eastAsia="Calibri" w:hAnsi="Calibri"/>
                <w:b/>
                <w:bCs/>
                <w:color w:val="FFFFFF"/>
                <w:sz w:val="14"/>
                <w:szCs w:val="14"/>
              </w:rPr>
              <w:t xml:space="preserve">Indicateur</w:t>
            </w:r>
          </w:p>
        </w:tc>
        <w:tc>
          <w:tcPr>
            <w:tcW w:type="dxa" w:w="17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jc w:val="center"/>
            </w:pPr>
            <w:r>
              <w:rPr>
                <w:rFonts w:ascii="Calibri" w:cs="Calibri" w:eastAsia="Calibri" w:hAnsi="Calibri"/>
                <w:b/>
                <w:bCs/>
                <w:color w:val="FFFFFF"/>
                <w:sz w:val="14"/>
                <w:szCs w:val="14"/>
              </w:rPr>
              <w:t xml:space="preserve">Python</w:t>
            </w:r>
          </w:p>
        </w:tc>
        <w:tc>
          <w:tcPr>
            <w:tcW w:type="dxa" w:w="145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jc w:val="center"/>
            </w:pPr>
            <w:r>
              <w:rPr>
                <w:rFonts w:ascii="Calibri" w:cs="Calibri" w:eastAsia="Calibri" w:hAnsi="Calibri"/>
                <w:b/>
                <w:bCs/>
                <w:color w:val="FFFFFF"/>
                <w:sz w:val="14"/>
                <w:szCs w:val="14"/>
              </w:rPr>
              <w:t xml:space="preserve">R</w:t>
            </w:r>
          </w:p>
        </w:tc>
        <w:tc>
          <w:tcPr>
            <w:tcW w:type="dxa" w:w="2688"/>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jc w:val="center"/>
            </w:pPr>
            <w:r>
              <w:rPr>
                <w:rFonts w:ascii="Calibri" w:cs="Calibri" w:eastAsia="Calibri" w:hAnsi="Calibri"/>
                <w:b/>
                <w:bCs/>
                <w:color w:val="FFFFFF"/>
                <w:sz w:val="14"/>
                <w:szCs w:val="14"/>
              </w:rPr>
              <w:t xml:space="preserve">Lecture</w:t>
            </w:r>
          </w:p>
        </w:tc>
        <w:tc>
          <w:tcPr>
            <w:tcW w:type="dxa" w:w="12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jc w:val="center"/>
            </w:pPr>
            <w:r>
              <w:rPr>
                <w:rFonts w:ascii="Calibri" w:cs="Calibri" w:eastAsia="Calibri" w:hAnsi="Calibri"/>
                <w:b/>
                <w:bCs/>
                <w:color w:val="FFFFFF"/>
                <w:sz w:val="14"/>
                <w:szCs w:val="14"/>
              </w:rPr>
              <w:t xml:space="preserve">Statut</w:t>
            </w:r>
          </w:p>
        </w:tc>
      </w:tr>
      <w:tr>
        <w:trPr>
          <w:cantSplit/>
        </w:trPr>
        <w:tc>
          <w:tcPr>
            <w:tcW w:type="dxa" w:w="11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jc w:val="left"/>
            </w:pPr>
            <w:r>
              <w:rPr>
                <w:rFonts w:ascii="Calibri" w:cs="Calibri" w:eastAsia="Calibri" w:hAnsi="Calibri"/>
                <w:b w:val="false"/>
                <w:bCs w:val="false"/>
                <w:color w:val="000000"/>
                <w:sz w:val="14"/>
                <w:szCs w:val="14"/>
              </w:rPr>
              <w:t xml:space="preserve">Stationnarité</w:t>
            </w:r>
          </w:p>
        </w:tc>
        <w:tc>
          <w:tcPr>
            <w:tcW w:type="dxa" w:w="14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jc w:val="left"/>
            </w:pPr>
            <w:r>
              <w:rPr>
                <w:rFonts w:ascii="Calibri" w:cs="Calibri" w:eastAsia="Calibri" w:hAnsi="Calibri"/>
                <w:b w:val="false"/>
                <w:bCs w:val="false"/>
                <w:color w:val="000000"/>
                <w:sz w:val="14"/>
                <w:szCs w:val="14"/>
              </w:rPr>
              <w:t xml:space="preserve">ADF log(KO) — p-value</w:t>
            </w:r>
          </w:p>
        </w:tc>
        <w:tc>
          <w:tcPr>
            <w:tcW w:type="dxa" w:w="17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jc w:val="left"/>
            </w:pPr>
            <w:r>
              <w:rPr>
                <w:rFonts w:ascii="Calibri" w:cs="Calibri" w:eastAsia="Calibri" w:hAnsi="Calibri"/>
                <w:b w:val="false"/>
                <w:bCs w:val="false"/>
                <w:color w:val="000000"/>
                <w:sz w:val="14"/>
                <w:szCs w:val="14"/>
              </w:rPr>
              <w:t xml:space="preserve">0.432 (statsmodels, constante)</w:t>
            </w:r>
          </w:p>
        </w:tc>
        <w:tc>
          <w:tcPr>
            <w:tcW w:type="dxa" w:w="14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jc w:val="left"/>
            </w:pPr>
            <w:r>
              <w:rPr>
                <w:rFonts w:ascii="Calibri" w:cs="Calibri" w:eastAsia="Calibri" w:hAnsi="Calibri"/>
                <w:b w:val="false"/>
                <w:bCs w:val="false"/>
                <w:color w:val="000000"/>
                <w:sz w:val="14"/>
                <w:szCs w:val="14"/>
              </w:rPr>
              <w:t xml:space="preserve">0.028 (tseries, constante + tendance)</w:t>
            </w:r>
          </w:p>
        </w:tc>
        <w:tc>
          <w:tcPr>
            <w:tcW w:type="dxa" w:w="268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jc w:val="left"/>
            </w:pPr>
            <w:r>
              <w:rPr>
                <w:rFonts w:ascii="Calibri" w:cs="Calibri" w:eastAsia="Calibri" w:hAnsi="Calibri"/>
                <w:b w:val="false"/>
                <w:bCs w:val="false"/>
                <w:color w:val="000000"/>
                <w:sz w:val="14"/>
                <w:szCs w:val="14"/>
              </w:rPr>
              <w:t xml:space="preserve">Divergence : spécifications différentes du test ADF. KPSS tranche dans le même sens (voir ligne suivante).</w:t>
            </w:r>
          </w:p>
        </w:tc>
        <w:tc>
          <w:tcPr>
            <w:tcW w:type="dxa" w:w="12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jc w:val="left"/>
            </w:pPr>
            <w:r>
              <w:rPr>
                <w:rFonts w:ascii="Calibri" w:cs="Calibri" w:eastAsia="Calibri" w:hAnsi="Calibri"/>
                <w:b w:val="false"/>
                <w:bCs w:val="false"/>
                <w:color w:val="000000"/>
                <w:sz w:val="14"/>
                <w:szCs w:val="14"/>
              </w:rPr>
              <w:t xml:space="preserve">Vérifié (mêmes données)</w:t>
            </w:r>
          </w:p>
        </w:tc>
      </w:tr>
      <w:tr>
        <w:trPr>
          <w:cantSplit/>
        </w:trPr>
        <w:tc>
          <w:tcPr>
            <w:tcW w:type="dxa" w:w="11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jc w:val="left"/>
            </w:pPr>
            <w:r>
              <w:rPr>
                <w:rFonts w:ascii="Calibri" w:cs="Calibri" w:eastAsia="Calibri" w:hAnsi="Calibri"/>
                <w:b w:val="false"/>
                <w:bCs w:val="false"/>
                <w:color w:val="000000"/>
                <w:sz w:val="14"/>
                <w:szCs w:val="14"/>
              </w:rPr>
              <w:t xml:space="preserve">Stationnarité</w:t>
            </w:r>
          </w:p>
        </w:tc>
        <w:tc>
          <w:tcPr>
            <w:tcW w:type="dxa" w:w="14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jc w:val="left"/>
            </w:pPr>
            <w:r>
              <w:rPr>
                <w:rFonts w:ascii="Calibri" w:cs="Calibri" w:eastAsia="Calibri" w:hAnsi="Calibri"/>
                <w:b w:val="false"/>
                <w:bCs w:val="false"/>
                <w:color w:val="000000"/>
                <w:sz w:val="14"/>
                <w:szCs w:val="14"/>
              </w:rPr>
              <w:t xml:space="preserve">KPSS log(KO) — p-value</w:t>
            </w:r>
          </w:p>
        </w:tc>
        <w:tc>
          <w:tcPr>
            <w:tcW w:type="dxa" w:w="17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jc w:val="left"/>
            </w:pPr>
            <w:r>
              <w:rPr>
                <w:rFonts w:ascii="Calibri" w:cs="Calibri" w:eastAsia="Calibri" w:hAnsi="Calibri"/>
                <w:b w:val="false"/>
                <w:bCs w:val="false"/>
                <w:color w:val="000000"/>
                <w:sz w:val="14"/>
                <w:szCs w:val="14"/>
              </w:rPr>
              <w:t xml:space="preserve">0.01</w:t>
            </w:r>
          </w:p>
        </w:tc>
        <w:tc>
          <w:tcPr>
            <w:tcW w:type="dxa" w:w="14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jc w:val="left"/>
            </w:pPr>
            <w:r>
              <w:rPr>
                <w:rFonts w:ascii="Calibri" w:cs="Calibri" w:eastAsia="Calibri" w:hAnsi="Calibri"/>
                <w:b w:val="false"/>
                <w:bCs w:val="false"/>
                <w:color w:val="000000"/>
                <w:sz w:val="14"/>
                <w:szCs w:val="14"/>
              </w:rPr>
              <w:t xml:space="preserve">0.01</w:t>
            </w:r>
          </w:p>
        </w:tc>
        <w:tc>
          <w:tcPr>
            <w:tcW w:type="dxa" w:w="268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jc w:val="left"/>
            </w:pPr>
            <w:r>
              <w:rPr>
                <w:rFonts w:ascii="Calibri" w:cs="Calibri" w:eastAsia="Calibri" w:hAnsi="Calibri"/>
                <w:b w:val="false"/>
                <w:bCs w:val="false"/>
                <w:color w:val="000000"/>
                <w:sz w:val="14"/>
                <w:szCs w:val="14"/>
              </w:rPr>
              <w:t xml:space="preserve">Accord : niveau non stationnaire.</w:t>
            </w:r>
          </w:p>
        </w:tc>
        <w:tc>
          <w:tcPr>
            <w:tcW w:type="dxa" w:w="12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jc w:val="left"/>
            </w:pPr>
            <w:r>
              <w:rPr>
                <w:rFonts w:ascii="Calibri" w:cs="Calibri" w:eastAsia="Calibri" w:hAnsi="Calibri"/>
                <w:b w:val="false"/>
                <w:bCs w:val="false"/>
                <w:color w:val="000000"/>
                <w:sz w:val="14"/>
                <w:szCs w:val="14"/>
              </w:rPr>
              <w:t xml:space="preserve">Vérifié (mêmes données)</w:t>
            </w:r>
          </w:p>
        </w:tc>
      </w:tr>
      <w:tr>
        <w:trPr>
          <w:cantSplit/>
        </w:trPr>
        <w:tc>
          <w:tcPr>
            <w:tcW w:type="dxa" w:w="11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jc w:val="left"/>
            </w:pPr>
            <w:r>
              <w:rPr>
                <w:rFonts w:ascii="Calibri" w:cs="Calibri" w:eastAsia="Calibri" w:hAnsi="Calibri"/>
                <w:b w:val="false"/>
                <w:bCs w:val="false"/>
                <w:color w:val="000000"/>
                <w:sz w:val="14"/>
                <w:szCs w:val="14"/>
              </w:rPr>
              <w:t xml:space="preserve">Stationnarité</w:t>
            </w:r>
          </w:p>
        </w:tc>
        <w:tc>
          <w:tcPr>
            <w:tcW w:type="dxa" w:w="14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jc w:val="left"/>
            </w:pPr>
            <w:r>
              <w:rPr>
                <w:rFonts w:ascii="Calibri" w:cs="Calibri" w:eastAsia="Calibri" w:hAnsi="Calibri"/>
                <w:b w:val="false"/>
                <w:bCs w:val="false"/>
                <w:color w:val="000000"/>
                <w:sz w:val="14"/>
                <w:szCs w:val="14"/>
              </w:rPr>
              <w:t xml:space="preserve">ADF / KPSS sur Δlog(KO)</w:t>
            </w:r>
          </w:p>
        </w:tc>
        <w:tc>
          <w:tcPr>
            <w:tcW w:type="dxa" w:w="17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jc w:val="left"/>
            </w:pPr>
            <w:r>
              <w:rPr>
                <w:rFonts w:ascii="Calibri" w:cs="Calibri" w:eastAsia="Calibri" w:hAnsi="Calibri"/>
                <w:b w:val="false"/>
                <w:bCs w:val="false"/>
                <w:color w:val="000000"/>
                <w:sz w:val="14"/>
                <w:szCs w:val="14"/>
              </w:rPr>
              <w:t xml:space="preserve">≈0 / 0.10</w:t>
            </w:r>
          </w:p>
        </w:tc>
        <w:tc>
          <w:tcPr>
            <w:tcW w:type="dxa" w:w="14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jc w:val="left"/>
            </w:pPr>
            <w:r>
              <w:rPr>
                <w:rFonts w:ascii="Calibri" w:cs="Calibri" w:eastAsia="Calibri" w:hAnsi="Calibri"/>
                <w:b w:val="false"/>
                <w:bCs w:val="false"/>
                <w:color w:val="000000"/>
                <w:sz w:val="14"/>
                <w:szCs w:val="14"/>
              </w:rPr>
              <w:t xml:space="preserve">0.01 (tronquée) / 0.10 (tronquée)</w:t>
            </w:r>
          </w:p>
        </w:tc>
        <w:tc>
          <w:tcPr>
            <w:tcW w:type="dxa" w:w="268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jc w:val="left"/>
            </w:pPr>
            <w:r>
              <w:rPr>
                <w:rFonts w:ascii="Calibri" w:cs="Calibri" w:eastAsia="Calibri" w:hAnsi="Calibri"/>
                <w:b w:val="false"/>
                <w:bCs w:val="false"/>
                <w:color w:val="000000"/>
                <w:sz w:val="14"/>
                <w:szCs w:val="14"/>
              </w:rPr>
              <w:t xml:space="preserve">Accord : rendements stationnaires, donc d = 1.</w:t>
            </w:r>
          </w:p>
        </w:tc>
        <w:tc>
          <w:tcPr>
            <w:tcW w:type="dxa" w:w="12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jc w:val="left"/>
            </w:pPr>
            <w:r>
              <w:rPr>
                <w:rFonts w:ascii="Calibri" w:cs="Calibri" w:eastAsia="Calibri" w:hAnsi="Calibri"/>
                <w:b w:val="false"/>
                <w:bCs w:val="false"/>
                <w:color w:val="000000"/>
                <w:sz w:val="14"/>
                <w:szCs w:val="14"/>
              </w:rPr>
              <w:t xml:space="preserve">Vérifié (mêmes données)</w:t>
            </w:r>
          </w:p>
        </w:tc>
      </w:tr>
      <w:tr>
        <w:trPr>
          <w:cantSplit/>
        </w:trPr>
        <w:tc>
          <w:tcPr>
            <w:tcW w:type="dxa" w:w="11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jc w:val="left"/>
            </w:pPr>
            <w:r>
              <w:rPr>
                <w:rFonts w:ascii="Calibri" w:cs="Calibri" w:eastAsia="Calibri" w:hAnsi="Calibri"/>
                <w:b w:val="false"/>
                <w:bCs w:val="false"/>
                <w:color w:val="000000"/>
                <w:sz w:val="14"/>
                <w:szCs w:val="14"/>
              </w:rPr>
              <w:t xml:space="preserve">ARIMA</w:t>
            </w:r>
          </w:p>
        </w:tc>
        <w:tc>
          <w:tcPr>
            <w:tcW w:type="dxa" w:w="14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jc w:val="left"/>
            </w:pPr>
            <w:r>
              <w:rPr>
                <w:rFonts w:ascii="Calibri" w:cs="Calibri" w:eastAsia="Calibri" w:hAnsi="Calibri"/>
                <w:b w:val="false"/>
                <w:bCs w:val="false"/>
                <w:color w:val="000000"/>
                <w:sz w:val="14"/>
                <w:szCs w:val="14"/>
              </w:rPr>
              <w:t xml:space="preserve">Ordre auto (p,1,q)</w:t>
            </w:r>
          </w:p>
        </w:tc>
        <w:tc>
          <w:tcPr>
            <w:tcW w:type="dxa" w:w="17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jc w:val="left"/>
            </w:pPr>
            <w:r>
              <w:rPr>
                <w:rFonts w:ascii="Calibri" w:cs="Calibri" w:eastAsia="Calibri" w:hAnsi="Calibri"/>
                <w:b w:val="false"/>
                <w:bCs w:val="false"/>
                <w:color w:val="000000"/>
                <w:sz w:val="14"/>
                <w:szCs w:val="14"/>
              </w:rPr>
              <w:t xml:space="preserve">(1,1,4) dans votre run ; (3,1,3) dans mon re-run (grille de secours)</w:t>
            </w:r>
          </w:p>
        </w:tc>
        <w:tc>
          <w:tcPr>
            <w:tcW w:type="dxa" w:w="14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jc w:val="left"/>
            </w:pPr>
            <w:r>
              <w:rPr>
                <w:rFonts w:ascii="Calibri" w:cs="Calibri" w:eastAsia="Calibri" w:hAnsi="Calibri"/>
                <w:b w:val="false"/>
                <w:bCs w:val="false"/>
                <w:color w:val="000000"/>
                <w:sz w:val="14"/>
                <w:szCs w:val="14"/>
              </w:rPr>
              <w:t xml:space="preserve">(4,1,1)</w:t>
            </w:r>
          </w:p>
        </w:tc>
        <w:tc>
          <w:tcPr>
            <w:tcW w:type="dxa" w:w="268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jc w:val="left"/>
            </w:pPr>
            <w:r>
              <w:rPr>
                <w:rFonts w:ascii="Calibri" w:cs="Calibri" w:eastAsia="Calibri" w:hAnsi="Calibri"/>
                <w:b w:val="false"/>
                <w:bCs w:val="false"/>
                <w:color w:val="000000"/>
                <w:sz w:val="14"/>
                <w:szCs w:val="14"/>
              </w:rPr>
              <w:t xml:space="preserve">Ordres instables d'une implémentation à l'autre : à discuter honnêtement (AIC quasi plats).</w:t>
            </w:r>
          </w:p>
        </w:tc>
        <w:tc>
          <w:tcPr>
            <w:tcW w:type="dxa" w:w="12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jc w:val="left"/>
            </w:pPr>
            <w:r>
              <w:rPr>
                <w:rFonts w:ascii="Calibri" w:cs="Calibri" w:eastAsia="Calibri" w:hAnsi="Calibri"/>
                <w:b w:val="false"/>
                <w:bCs w:val="false"/>
                <w:color w:val="000000"/>
                <w:sz w:val="14"/>
                <w:szCs w:val="14"/>
              </w:rPr>
              <w:t xml:space="preserve">Vérifié (mêmes données)</w:t>
            </w:r>
          </w:p>
        </w:tc>
      </w:tr>
      <w:tr>
        <w:trPr>
          <w:cantSplit/>
        </w:trPr>
        <w:tc>
          <w:tcPr>
            <w:tcW w:type="dxa" w:w="11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jc w:val="left"/>
            </w:pPr>
            <w:r>
              <w:rPr>
                <w:rFonts w:ascii="Calibri" w:cs="Calibri" w:eastAsia="Calibri" w:hAnsi="Calibri"/>
                <w:b w:val="false"/>
                <w:bCs w:val="false"/>
                <w:color w:val="000000"/>
                <w:sz w:val="14"/>
                <w:szCs w:val="14"/>
              </w:rPr>
              <w:t xml:space="preserve">ARIMA</w:t>
            </w:r>
          </w:p>
        </w:tc>
        <w:tc>
          <w:tcPr>
            <w:tcW w:type="dxa" w:w="14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jc w:val="left"/>
            </w:pPr>
            <w:r>
              <w:rPr>
                <w:rFonts w:ascii="Calibri" w:cs="Calibri" w:eastAsia="Calibri" w:hAnsi="Calibri"/>
                <w:b w:val="false"/>
                <w:bCs w:val="false"/>
                <w:color w:val="000000"/>
                <w:sz w:val="14"/>
                <w:szCs w:val="14"/>
              </w:rPr>
              <w:t xml:space="preserve">AIC de ARIMA(5,1,5)</w:t>
            </w:r>
          </w:p>
        </w:tc>
        <w:tc>
          <w:tcPr>
            <w:tcW w:type="dxa" w:w="17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jc w:val="left"/>
            </w:pPr>
            <w:r>
              <w:rPr>
                <w:rFonts w:ascii="Calibri" w:cs="Calibri" w:eastAsia="Calibri" w:hAnsi="Calibri"/>
                <w:b w:val="false"/>
                <w:bCs w:val="false"/>
                <w:color w:val="000000"/>
                <w:sz w:val="14"/>
                <w:szCs w:val="14"/>
              </w:rPr>
              <w:t xml:space="preserve">-7936.6</w:t>
            </w:r>
          </w:p>
        </w:tc>
        <w:tc>
          <w:tcPr>
            <w:tcW w:type="dxa" w:w="14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jc w:val="left"/>
            </w:pPr>
            <w:r>
              <w:rPr>
                <w:rFonts w:ascii="Calibri" w:cs="Calibri" w:eastAsia="Calibri" w:hAnsi="Calibri"/>
                <w:b w:val="false"/>
                <w:bCs w:val="false"/>
                <w:color w:val="000000"/>
                <w:sz w:val="14"/>
                <w:szCs w:val="14"/>
              </w:rPr>
              <w:t xml:space="preserve">-7954.4</w:t>
            </w:r>
          </w:p>
        </w:tc>
        <w:tc>
          <w:tcPr>
            <w:tcW w:type="dxa" w:w="268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jc w:val="left"/>
            </w:pPr>
            <w:r>
              <w:rPr>
                <w:rFonts w:ascii="Calibri" w:cs="Calibri" w:eastAsia="Calibri" w:hAnsi="Calibri"/>
                <w:b w:val="false"/>
                <w:bCs w:val="false"/>
                <w:color w:val="000000"/>
                <w:sz w:val="14"/>
                <w:szCs w:val="14"/>
              </w:rPr>
              <w:t xml:space="preserve">R atteint une meilleure vraisemblance ; statsmodels signale des ConvergenceWarning.</w:t>
            </w:r>
          </w:p>
        </w:tc>
        <w:tc>
          <w:tcPr>
            <w:tcW w:type="dxa" w:w="12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jc w:val="left"/>
            </w:pPr>
            <w:r>
              <w:rPr>
                <w:rFonts w:ascii="Calibri" w:cs="Calibri" w:eastAsia="Calibri" w:hAnsi="Calibri"/>
                <w:b w:val="false"/>
                <w:bCs w:val="false"/>
                <w:color w:val="000000"/>
                <w:sz w:val="14"/>
                <w:szCs w:val="14"/>
              </w:rPr>
              <w:t xml:space="preserve">Vérifié (mêmes données)</w:t>
            </w:r>
          </w:p>
        </w:tc>
      </w:tr>
      <w:tr>
        <w:trPr>
          <w:cantSplit/>
        </w:trPr>
        <w:tc>
          <w:tcPr>
            <w:tcW w:type="dxa" w:w="11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jc w:val="left"/>
            </w:pPr>
            <w:r>
              <w:rPr>
                <w:rFonts w:ascii="Calibri" w:cs="Calibri" w:eastAsia="Calibri" w:hAnsi="Calibri"/>
                <w:b w:val="false"/>
                <w:bCs w:val="false"/>
                <w:color w:val="000000"/>
                <w:sz w:val="14"/>
                <w:szCs w:val="14"/>
              </w:rPr>
              <w:t xml:space="preserve">ARIMA</w:t>
            </w:r>
          </w:p>
        </w:tc>
        <w:tc>
          <w:tcPr>
            <w:tcW w:type="dxa" w:w="14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jc w:val="left"/>
            </w:pPr>
            <w:r>
              <w:rPr>
                <w:rFonts w:ascii="Calibri" w:cs="Calibri" w:eastAsia="Calibri" w:hAnsi="Calibri"/>
                <w:b w:val="false"/>
                <w:bCs w:val="false"/>
                <w:color w:val="000000"/>
                <w:sz w:val="14"/>
                <w:szCs w:val="14"/>
              </w:rPr>
              <w:t xml:space="preserve">Ljung-Box(10) résidus du modèle auto</w:t>
            </w:r>
          </w:p>
        </w:tc>
        <w:tc>
          <w:tcPr>
            <w:tcW w:type="dxa" w:w="17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jc w:val="left"/>
            </w:pPr>
            <w:r>
              <w:rPr>
                <w:rFonts w:ascii="Calibri" w:cs="Calibri" w:eastAsia="Calibri" w:hAnsi="Calibri"/>
                <w:b w:val="false"/>
                <w:bCs w:val="false"/>
                <w:color w:val="000000"/>
                <w:sz w:val="14"/>
                <w:szCs w:val="14"/>
              </w:rPr>
              <w:t xml:space="preserve">0.225</w:t>
            </w:r>
          </w:p>
        </w:tc>
        <w:tc>
          <w:tcPr>
            <w:tcW w:type="dxa" w:w="14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jc w:val="left"/>
            </w:pPr>
            <w:r>
              <w:rPr>
                <w:rFonts w:ascii="Calibri" w:cs="Calibri" w:eastAsia="Calibri" w:hAnsi="Calibri"/>
                <w:b w:val="false"/>
                <w:bCs w:val="false"/>
                <w:color w:val="000000"/>
                <w:sz w:val="14"/>
                <w:szCs w:val="14"/>
              </w:rPr>
              <w:t xml:space="preserve">0.507</w:t>
            </w:r>
          </w:p>
        </w:tc>
        <w:tc>
          <w:tcPr>
            <w:tcW w:type="dxa" w:w="268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jc w:val="left"/>
            </w:pPr>
            <w:r>
              <w:rPr>
                <w:rFonts w:ascii="Calibri" w:cs="Calibri" w:eastAsia="Calibri" w:hAnsi="Calibri"/>
                <w:b w:val="false"/>
                <w:bCs w:val="false"/>
                <w:color w:val="000000"/>
                <w:sz w:val="14"/>
                <w:szCs w:val="14"/>
              </w:rPr>
              <w:t xml:space="preserve">Accord : pas d'autocorrélation résiduelle forte.</w:t>
            </w:r>
          </w:p>
        </w:tc>
        <w:tc>
          <w:tcPr>
            <w:tcW w:type="dxa" w:w="12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jc w:val="left"/>
            </w:pPr>
            <w:r>
              <w:rPr>
                <w:rFonts w:ascii="Calibri" w:cs="Calibri" w:eastAsia="Calibri" w:hAnsi="Calibri"/>
                <w:b w:val="false"/>
                <w:bCs w:val="false"/>
                <w:color w:val="000000"/>
                <w:sz w:val="14"/>
                <w:szCs w:val="14"/>
              </w:rPr>
              <w:t xml:space="preserve">Vos exécutions (results/ et results_R/)</w:t>
            </w:r>
          </w:p>
        </w:tc>
      </w:tr>
      <w:tr>
        <w:trPr>
          <w:cantSplit/>
        </w:trPr>
        <w:tc>
          <w:tcPr>
            <w:tcW w:type="dxa" w:w="11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jc w:val="left"/>
            </w:pPr>
            <w:r>
              <w:rPr>
                <w:rFonts w:ascii="Calibri" w:cs="Calibri" w:eastAsia="Calibri" w:hAnsi="Calibri"/>
                <w:b w:val="false"/>
                <w:bCs w:val="false"/>
                <w:color w:val="000000"/>
                <w:sz w:val="14"/>
                <w:szCs w:val="14"/>
              </w:rPr>
              <w:t xml:space="preserve">ARIMA</w:t>
            </w:r>
          </w:p>
        </w:tc>
        <w:tc>
          <w:tcPr>
            <w:tcW w:type="dxa" w:w="14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jc w:val="left"/>
            </w:pPr>
            <w:r>
              <w:rPr>
                <w:rFonts w:ascii="Calibri" w:cs="Calibri" w:eastAsia="Calibri" w:hAnsi="Calibri"/>
                <w:b w:val="false"/>
                <w:bCs w:val="false"/>
                <w:color w:val="000000"/>
                <w:sz w:val="14"/>
                <w:szCs w:val="14"/>
              </w:rPr>
              <w:t xml:space="preserve">ARCH-LM(10) résidus</w:t>
            </w:r>
          </w:p>
        </w:tc>
        <w:tc>
          <w:tcPr>
            <w:tcW w:type="dxa" w:w="17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jc w:val="left"/>
            </w:pPr>
            <w:r>
              <w:rPr>
                <w:rFonts w:ascii="Calibri" w:cs="Calibri" w:eastAsia="Calibri" w:hAnsi="Calibri"/>
                <w:b w:val="false"/>
                <w:bCs w:val="false"/>
                <w:color w:val="000000"/>
                <w:sz w:val="14"/>
                <w:szCs w:val="14"/>
              </w:rPr>
              <w:t xml:space="preserve">≈ 1e-64</w:t>
            </w:r>
          </w:p>
        </w:tc>
        <w:tc>
          <w:tcPr>
            <w:tcW w:type="dxa" w:w="14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jc w:val="left"/>
            </w:pPr>
            <w:r>
              <w:rPr>
                <w:rFonts w:ascii="Calibri" w:cs="Calibri" w:eastAsia="Calibri" w:hAnsi="Calibri"/>
                <w:b w:val="false"/>
                <w:bCs w:val="false"/>
                <w:color w:val="000000"/>
                <w:sz w:val="14"/>
                <w:szCs w:val="14"/>
              </w:rPr>
              <w:t xml:space="preserve">≈ 0</w:t>
            </w:r>
          </w:p>
        </w:tc>
        <w:tc>
          <w:tcPr>
            <w:tcW w:type="dxa" w:w="268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jc w:val="left"/>
            </w:pPr>
            <w:r>
              <w:rPr>
                <w:rFonts w:ascii="Calibri" w:cs="Calibri" w:eastAsia="Calibri" w:hAnsi="Calibri"/>
                <w:b w:val="false"/>
                <w:bCs w:val="false"/>
                <w:color w:val="000000"/>
                <w:sz w:val="14"/>
                <w:szCs w:val="14"/>
              </w:rPr>
              <w:t xml:space="preserve">Accord : effets ARCH très significatifs, ce qui justifie le GARCH.</w:t>
            </w:r>
          </w:p>
        </w:tc>
        <w:tc>
          <w:tcPr>
            <w:tcW w:type="dxa" w:w="12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jc w:val="left"/>
            </w:pPr>
            <w:r>
              <w:rPr>
                <w:rFonts w:ascii="Calibri" w:cs="Calibri" w:eastAsia="Calibri" w:hAnsi="Calibri"/>
                <w:b w:val="false"/>
                <w:bCs w:val="false"/>
                <w:color w:val="000000"/>
                <w:sz w:val="14"/>
                <w:szCs w:val="14"/>
              </w:rPr>
              <w:t xml:space="preserve">Vos exécutions (results/ et results_R/)</w:t>
            </w:r>
          </w:p>
        </w:tc>
      </w:tr>
      <w:tr>
        <w:trPr>
          <w:cantSplit/>
        </w:trPr>
        <w:tc>
          <w:tcPr>
            <w:tcW w:type="dxa" w:w="11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jc w:val="left"/>
            </w:pPr>
            <w:r>
              <w:rPr>
                <w:rFonts w:ascii="Calibri" w:cs="Calibri" w:eastAsia="Calibri" w:hAnsi="Calibri"/>
                <w:b w:val="false"/>
                <w:bCs w:val="false"/>
                <w:color w:val="000000"/>
                <w:sz w:val="14"/>
                <w:szCs w:val="14"/>
              </w:rPr>
              <w:t xml:space="preserve">Cointégration</w:t>
            </w:r>
          </w:p>
        </w:tc>
        <w:tc>
          <w:tcPr>
            <w:tcW w:type="dxa" w:w="14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jc w:val="left"/>
            </w:pPr>
            <w:r>
              <w:rPr>
                <w:rFonts w:ascii="Calibri" w:cs="Calibri" w:eastAsia="Calibri" w:hAnsi="Calibri"/>
                <w:b w:val="false"/>
                <w:bCs w:val="false"/>
                <w:color w:val="000000"/>
                <w:sz w:val="14"/>
                <w:szCs w:val="14"/>
              </w:rPr>
              <w:t xml:space="preserve">Engle-Granger (Py) / Phillips-Ouliaris (R) — p</w:t>
            </w:r>
          </w:p>
        </w:tc>
        <w:tc>
          <w:tcPr>
            <w:tcW w:type="dxa" w:w="17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jc w:val="left"/>
            </w:pPr>
            <w:r>
              <w:rPr>
                <w:rFonts w:ascii="Calibri" w:cs="Calibri" w:eastAsia="Calibri" w:hAnsi="Calibri"/>
                <w:b w:val="false"/>
                <w:bCs w:val="false"/>
                <w:color w:val="000000"/>
                <w:sz w:val="14"/>
                <w:szCs w:val="14"/>
              </w:rPr>
              <w:t xml:space="preserve">0.030</w:t>
            </w:r>
          </w:p>
        </w:tc>
        <w:tc>
          <w:tcPr>
            <w:tcW w:type="dxa" w:w="14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jc w:val="left"/>
            </w:pPr>
            <w:r>
              <w:rPr>
                <w:rFonts w:ascii="Calibri" w:cs="Calibri" w:eastAsia="Calibri" w:hAnsi="Calibri"/>
                <w:b w:val="false"/>
                <w:bCs w:val="false"/>
                <w:color w:val="000000"/>
                <w:sz w:val="14"/>
                <w:szCs w:val="14"/>
              </w:rPr>
              <w:t xml:space="preserve">0.019</w:t>
            </w:r>
          </w:p>
        </w:tc>
        <w:tc>
          <w:tcPr>
            <w:tcW w:type="dxa" w:w="268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jc w:val="left"/>
            </w:pPr>
            <w:r>
              <w:rPr>
                <w:rFonts w:ascii="Calibri" w:cs="Calibri" w:eastAsia="Calibri" w:hAnsi="Calibri"/>
                <w:b w:val="false"/>
                <w:bCs w:val="false"/>
                <w:color w:val="000000"/>
                <w:sz w:val="14"/>
                <w:szCs w:val="14"/>
              </w:rPr>
              <w:t xml:space="preserve">Accord : H0 « pas de cointégration » rejetée à 5 %.</w:t>
            </w:r>
          </w:p>
        </w:tc>
        <w:tc>
          <w:tcPr>
            <w:tcW w:type="dxa" w:w="12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jc w:val="left"/>
            </w:pPr>
            <w:r>
              <w:rPr>
                <w:rFonts w:ascii="Calibri" w:cs="Calibri" w:eastAsia="Calibri" w:hAnsi="Calibri"/>
                <w:b w:val="false"/>
                <w:bCs w:val="false"/>
                <w:color w:val="000000"/>
                <w:sz w:val="14"/>
                <w:szCs w:val="14"/>
              </w:rPr>
              <w:t xml:space="preserve">Vérifié (mêmes données)</w:t>
            </w:r>
          </w:p>
        </w:tc>
      </w:tr>
      <w:tr>
        <w:trPr>
          <w:cantSplit/>
        </w:trPr>
        <w:tc>
          <w:tcPr>
            <w:tcW w:type="dxa" w:w="11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jc w:val="left"/>
            </w:pPr>
            <w:r>
              <w:rPr>
                <w:rFonts w:ascii="Calibri" w:cs="Calibri" w:eastAsia="Calibri" w:hAnsi="Calibri"/>
                <w:b w:val="false"/>
                <w:bCs w:val="false"/>
                <w:color w:val="000000"/>
                <w:sz w:val="14"/>
                <w:szCs w:val="14"/>
              </w:rPr>
              <w:t xml:space="preserve">Cointégration</w:t>
            </w:r>
          </w:p>
        </w:tc>
        <w:tc>
          <w:tcPr>
            <w:tcW w:type="dxa" w:w="14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jc w:val="left"/>
            </w:pPr>
            <w:r>
              <w:rPr>
                <w:rFonts w:ascii="Calibri" w:cs="Calibri" w:eastAsia="Calibri" w:hAnsi="Calibri"/>
                <w:b w:val="false"/>
                <w:bCs w:val="false"/>
                <w:color w:val="000000"/>
                <w:sz w:val="14"/>
                <w:szCs w:val="14"/>
              </w:rPr>
              <w:t xml:space="preserve">Rang de Johansen</w:t>
            </w:r>
          </w:p>
        </w:tc>
        <w:tc>
          <w:tcPr>
            <w:tcW w:type="dxa" w:w="17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jc w:val="left"/>
            </w:pPr>
            <w:r>
              <w:rPr>
                <w:rFonts w:ascii="Calibri" w:cs="Calibri" w:eastAsia="Calibri" w:hAnsi="Calibri"/>
                <w:b w:val="false"/>
                <w:bCs w:val="false"/>
                <w:color w:val="000000"/>
                <w:sz w:val="14"/>
                <w:szCs w:val="14"/>
              </w:rPr>
              <w:t xml:space="preserve">2 avec det_order=0 ; 1 avec det_order=-1</w:t>
            </w:r>
          </w:p>
        </w:tc>
        <w:tc>
          <w:tcPr>
            <w:tcW w:type="dxa" w:w="14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jc w:val="left"/>
            </w:pPr>
            <w:r>
              <w:rPr>
                <w:rFonts w:ascii="Calibri" w:cs="Calibri" w:eastAsia="Calibri" w:hAnsi="Calibri"/>
                <w:b w:val="false"/>
                <w:bCs w:val="false"/>
                <w:color w:val="000000"/>
                <w:sz w:val="14"/>
                <w:szCs w:val="14"/>
              </w:rPr>
              <w:t xml:space="preserve">1 (urca, constante restreinte)</w:t>
            </w:r>
          </w:p>
        </w:tc>
        <w:tc>
          <w:tcPr>
            <w:tcW w:type="dxa" w:w="268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jc w:val="left"/>
            </w:pPr>
            <w:r>
              <w:rPr>
                <w:rFonts w:ascii="Calibri" w:cs="Calibri" w:eastAsia="Calibri" w:hAnsi="Calibri"/>
                <w:b w:val="false"/>
                <w:bCs w:val="false"/>
                <w:color w:val="000000"/>
                <w:sz w:val="14"/>
                <w:szCs w:val="14"/>
              </w:rPr>
              <w:t xml:space="preserve">Python (det_order=0) donne un rang 2, incompatible avec des log-prix I(1). Retenir r = 1 (R + Engle-Granger + spread).</w:t>
            </w:r>
          </w:p>
        </w:tc>
        <w:tc>
          <w:tcPr>
            <w:tcW w:type="dxa" w:w="12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jc w:val="left"/>
            </w:pPr>
            <w:r>
              <w:rPr>
                <w:rFonts w:ascii="Calibri" w:cs="Calibri" w:eastAsia="Calibri" w:hAnsi="Calibri"/>
                <w:b w:val="false"/>
                <w:bCs w:val="false"/>
                <w:color w:val="000000"/>
                <w:sz w:val="14"/>
                <w:szCs w:val="14"/>
              </w:rPr>
              <w:t xml:space="preserve">Vérifié (mêmes données)</w:t>
            </w:r>
          </w:p>
        </w:tc>
      </w:tr>
      <w:tr>
        <w:trPr>
          <w:cantSplit/>
        </w:trPr>
        <w:tc>
          <w:tcPr>
            <w:tcW w:type="dxa" w:w="11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jc w:val="left"/>
            </w:pPr>
            <w:r>
              <w:rPr>
                <w:rFonts w:ascii="Calibri" w:cs="Calibri" w:eastAsia="Calibri" w:hAnsi="Calibri"/>
                <w:b w:val="false"/>
                <w:bCs w:val="false"/>
                <w:color w:val="000000"/>
                <w:sz w:val="14"/>
                <w:szCs w:val="14"/>
              </w:rPr>
              <w:t xml:space="preserve">Cointégration</w:t>
            </w:r>
          </w:p>
        </w:tc>
        <w:tc>
          <w:tcPr>
            <w:tcW w:type="dxa" w:w="14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jc w:val="left"/>
            </w:pPr>
            <w:r>
              <w:rPr>
                <w:rFonts w:ascii="Calibri" w:cs="Calibri" w:eastAsia="Calibri" w:hAnsi="Calibri"/>
                <w:b w:val="false"/>
                <w:bCs w:val="false"/>
                <w:color w:val="000000"/>
                <w:sz w:val="14"/>
                <w:szCs w:val="14"/>
              </w:rPr>
              <w:t xml:space="preserve">Coefficient β (log PEP) de long terme</w:t>
            </w:r>
          </w:p>
        </w:tc>
        <w:tc>
          <w:tcPr>
            <w:tcW w:type="dxa" w:w="17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jc w:val="left"/>
            </w:pPr>
            <w:r>
              <w:rPr>
                <w:rFonts w:ascii="Calibri" w:cs="Calibri" w:eastAsia="Calibri" w:hAnsi="Calibri"/>
                <w:b w:val="false"/>
                <w:bCs w:val="false"/>
                <w:color w:val="000000"/>
                <w:sz w:val="14"/>
                <w:szCs w:val="14"/>
              </w:rPr>
              <w:t xml:space="preserve">0.790 (VECM) / 0.762 (MCO)</w:t>
            </w:r>
          </w:p>
        </w:tc>
        <w:tc>
          <w:tcPr>
            <w:tcW w:type="dxa" w:w="14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jc w:val="left"/>
            </w:pPr>
            <w:r>
              <w:rPr>
                <w:rFonts w:ascii="Calibri" w:cs="Calibri" w:eastAsia="Calibri" w:hAnsi="Calibri"/>
                <w:b w:val="false"/>
                <w:bCs w:val="false"/>
                <w:color w:val="000000"/>
                <w:sz w:val="14"/>
                <w:szCs w:val="14"/>
              </w:rPr>
              <w:t xml:space="preserve">0.793</w:t>
            </w:r>
          </w:p>
        </w:tc>
        <w:tc>
          <w:tcPr>
            <w:tcW w:type="dxa" w:w="268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jc w:val="left"/>
            </w:pPr>
            <w:r>
              <w:rPr>
                <w:rFonts w:ascii="Calibri" w:cs="Calibri" w:eastAsia="Calibri" w:hAnsi="Calibri"/>
                <w:b w:val="false"/>
                <w:bCs w:val="false"/>
                <w:color w:val="000000"/>
                <w:sz w:val="14"/>
                <w:szCs w:val="14"/>
              </w:rPr>
              <w:t xml:space="preserve">Accord.</w:t>
            </w:r>
          </w:p>
        </w:tc>
        <w:tc>
          <w:tcPr>
            <w:tcW w:type="dxa" w:w="12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jc w:val="left"/>
            </w:pPr>
            <w:r>
              <w:rPr>
                <w:rFonts w:ascii="Calibri" w:cs="Calibri" w:eastAsia="Calibri" w:hAnsi="Calibri"/>
                <w:b w:val="false"/>
                <w:bCs w:val="false"/>
                <w:color w:val="000000"/>
                <w:sz w:val="14"/>
                <w:szCs w:val="14"/>
              </w:rPr>
              <w:t xml:space="preserve">Vérifié (mêmes données)</w:t>
            </w:r>
          </w:p>
        </w:tc>
      </w:tr>
      <w:tr>
        <w:trPr>
          <w:cantSplit/>
        </w:trPr>
        <w:tc>
          <w:tcPr>
            <w:tcW w:type="dxa" w:w="11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jc w:val="left"/>
            </w:pPr>
            <w:r>
              <w:rPr>
                <w:rFonts w:ascii="Calibri" w:cs="Calibri" w:eastAsia="Calibri" w:hAnsi="Calibri"/>
                <w:b w:val="false"/>
                <w:bCs w:val="false"/>
                <w:color w:val="000000"/>
                <w:sz w:val="14"/>
                <w:szCs w:val="14"/>
              </w:rPr>
              <w:t xml:space="preserve">VECM</w:t>
            </w:r>
          </w:p>
        </w:tc>
        <w:tc>
          <w:tcPr>
            <w:tcW w:type="dxa" w:w="14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jc w:val="left"/>
            </w:pPr>
            <w:r>
              <w:rPr>
                <w:rFonts w:ascii="Calibri" w:cs="Calibri" w:eastAsia="Calibri" w:hAnsi="Calibri"/>
                <w:b w:val="false"/>
                <w:bCs w:val="false"/>
                <w:color w:val="000000"/>
                <w:sz w:val="14"/>
                <w:szCs w:val="14"/>
              </w:rPr>
              <w:t xml:space="preserve">α de KO (vitesse de correction)</w:t>
            </w:r>
          </w:p>
        </w:tc>
        <w:tc>
          <w:tcPr>
            <w:tcW w:type="dxa" w:w="17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jc w:val="left"/>
            </w:pPr>
            <w:r>
              <w:rPr>
                <w:rFonts w:ascii="Calibri" w:cs="Calibri" w:eastAsia="Calibri" w:hAnsi="Calibri"/>
                <w:b w:val="false"/>
                <w:bCs w:val="false"/>
                <w:color w:val="000000"/>
                <w:sz w:val="14"/>
                <w:szCs w:val="14"/>
              </w:rPr>
              <w:t xml:space="preserve">-0.0214 (p = 0.005), demi-vie ≈ 32 j</w:t>
            </w:r>
          </w:p>
        </w:tc>
        <w:tc>
          <w:tcPr>
            <w:tcW w:type="dxa" w:w="14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jc w:val="left"/>
            </w:pPr>
            <w:r>
              <w:rPr>
                <w:rFonts w:ascii="Calibri" w:cs="Calibri" w:eastAsia="Calibri" w:hAnsi="Calibri"/>
                <w:b w:val="false"/>
                <w:bCs w:val="false"/>
                <w:color w:val="000000"/>
                <w:sz w:val="14"/>
                <w:szCs w:val="14"/>
              </w:rPr>
              <w:t xml:space="preserve">non exporté</w:t>
            </w:r>
          </w:p>
        </w:tc>
        <w:tc>
          <w:tcPr>
            <w:tcW w:type="dxa" w:w="268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jc w:val="left"/>
            </w:pPr>
            <w:r>
              <w:rPr>
                <w:rFonts w:ascii="Calibri" w:cs="Calibri" w:eastAsia="Calibri" w:hAnsi="Calibri"/>
                <w:b w:val="false"/>
                <w:bCs w:val="false"/>
                <w:color w:val="000000"/>
                <w:sz w:val="14"/>
                <w:szCs w:val="14"/>
              </w:rPr>
              <w:t xml:space="preserve">À relancer : Rscript R/classique.R &gt; results_R/sortie_R.txt</w:t>
            </w:r>
          </w:p>
        </w:tc>
        <w:tc>
          <w:tcPr>
            <w:tcW w:type="dxa" w:w="12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jc w:val="left"/>
            </w:pPr>
            <w:r>
              <w:rPr>
                <w:rFonts w:ascii="Calibri" w:cs="Calibri" w:eastAsia="Calibri" w:hAnsi="Calibri"/>
                <w:b w:val="false"/>
                <w:bCs w:val="false"/>
                <w:color w:val="000000"/>
                <w:sz w:val="14"/>
                <w:szCs w:val="14"/>
              </w:rPr>
              <w:t xml:space="preserve">À exporter côté R</w:t>
            </w:r>
          </w:p>
        </w:tc>
      </w:tr>
      <w:tr>
        <w:trPr>
          <w:cantSplit/>
        </w:trPr>
        <w:tc>
          <w:tcPr>
            <w:tcW w:type="dxa" w:w="11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jc w:val="left"/>
            </w:pPr>
            <w:r>
              <w:rPr>
                <w:rFonts w:ascii="Calibri" w:cs="Calibri" w:eastAsia="Calibri" w:hAnsi="Calibri"/>
                <w:b w:val="false"/>
                <w:bCs w:val="false"/>
                <w:color w:val="000000"/>
                <w:sz w:val="14"/>
                <w:szCs w:val="14"/>
              </w:rPr>
              <w:t xml:space="preserve">VAR</w:t>
            </w:r>
          </w:p>
        </w:tc>
        <w:tc>
          <w:tcPr>
            <w:tcW w:type="dxa" w:w="14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jc w:val="left"/>
            </w:pPr>
            <w:r>
              <w:rPr>
                <w:rFonts w:ascii="Calibri" w:cs="Calibri" w:eastAsia="Calibri" w:hAnsi="Calibri"/>
                <w:b w:val="false"/>
                <w:bCs w:val="false"/>
                <w:color w:val="000000"/>
                <w:sz w:val="14"/>
                <w:szCs w:val="14"/>
              </w:rPr>
              <w:t xml:space="preserve">Ordre BIC / Granger PEP→KO / KO→PEP</w:t>
            </w:r>
          </w:p>
        </w:tc>
        <w:tc>
          <w:tcPr>
            <w:tcW w:type="dxa" w:w="17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jc w:val="left"/>
            </w:pPr>
            <w:r>
              <w:rPr>
                <w:rFonts w:ascii="Calibri" w:cs="Calibri" w:eastAsia="Calibri" w:hAnsi="Calibri"/>
                <w:b w:val="false"/>
                <w:bCs w:val="false"/>
                <w:color w:val="000000"/>
                <w:sz w:val="14"/>
                <w:szCs w:val="14"/>
              </w:rPr>
              <w:t xml:space="preserve">1 / p=0.014 / p=0.056</w:t>
            </w:r>
          </w:p>
        </w:tc>
        <w:tc>
          <w:tcPr>
            <w:tcW w:type="dxa" w:w="14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jc w:val="left"/>
            </w:pPr>
            <w:r>
              <w:rPr>
                <w:rFonts w:ascii="Calibri" w:cs="Calibri" w:eastAsia="Calibri" w:hAnsi="Calibri"/>
                <w:b w:val="false"/>
                <w:bCs w:val="false"/>
                <w:color w:val="000000"/>
                <w:sz w:val="14"/>
                <w:szCs w:val="14"/>
              </w:rPr>
              <w:t xml:space="preserve">non exporté (package vars)</w:t>
            </w:r>
          </w:p>
        </w:tc>
        <w:tc>
          <w:tcPr>
            <w:tcW w:type="dxa" w:w="268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jc w:val="left"/>
            </w:pPr>
            <w:r>
              <w:rPr>
                <w:rFonts w:ascii="Calibri" w:cs="Calibri" w:eastAsia="Calibri" w:hAnsi="Calibri"/>
                <w:b w:val="false"/>
                <w:bCs w:val="false"/>
                <w:color w:val="000000"/>
                <w:sz w:val="14"/>
                <w:szCs w:val="14"/>
              </w:rPr>
              <w:t xml:space="preserve">À relancer et recopier depuis sortie_R.txt.</w:t>
            </w:r>
          </w:p>
        </w:tc>
        <w:tc>
          <w:tcPr>
            <w:tcW w:type="dxa" w:w="12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jc w:val="left"/>
            </w:pPr>
            <w:r>
              <w:rPr>
                <w:rFonts w:ascii="Calibri" w:cs="Calibri" w:eastAsia="Calibri" w:hAnsi="Calibri"/>
                <w:b w:val="false"/>
                <w:bCs w:val="false"/>
                <w:color w:val="000000"/>
                <w:sz w:val="14"/>
                <w:szCs w:val="14"/>
              </w:rPr>
              <w:t xml:space="preserve">À exporter côté R</w:t>
            </w:r>
          </w:p>
        </w:tc>
      </w:tr>
      <w:tr>
        <w:trPr>
          <w:cantSplit/>
        </w:trPr>
        <w:tc>
          <w:tcPr>
            <w:tcW w:type="dxa" w:w="11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jc w:val="left"/>
            </w:pPr>
            <w:r>
              <w:rPr>
                <w:rFonts w:ascii="Calibri" w:cs="Calibri" w:eastAsia="Calibri" w:hAnsi="Calibri"/>
                <w:b w:val="false"/>
                <w:bCs w:val="false"/>
                <w:color w:val="000000"/>
                <w:sz w:val="14"/>
                <w:szCs w:val="14"/>
              </w:rPr>
              <w:t xml:space="preserve">GARCH</w:t>
            </w:r>
          </w:p>
        </w:tc>
        <w:tc>
          <w:tcPr>
            <w:tcW w:type="dxa" w:w="14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jc w:val="left"/>
            </w:pPr>
            <w:r>
              <w:rPr>
                <w:rFonts w:ascii="Calibri" w:cs="Calibri" w:eastAsia="Calibri" w:hAnsi="Calibri"/>
                <w:b w:val="false"/>
                <w:bCs w:val="false"/>
                <w:color w:val="000000"/>
                <w:sz w:val="14"/>
                <w:szCs w:val="14"/>
              </w:rPr>
              <w:t xml:space="preserve">GARCH(1,1)-t : persistance, demi-vie</w:t>
            </w:r>
          </w:p>
        </w:tc>
        <w:tc>
          <w:tcPr>
            <w:tcW w:type="dxa" w:w="17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jc w:val="left"/>
            </w:pPr>
            <w:r>
              <w:rPr>
                <w:rFonts w:ascii="Calibri" w:cs="Calibri" w:eastAsia="Calibri" w:hAnsi="Calibri"/>
                <w:b w:val="false"/>
                <w:bCs w:val="false"/>
                <w:color w:val="000000"/>
                <w:sz w:val="14"/>
                <w:szCs w:val="14"/>
              </w:rPr>
              <w:t xml:space="preserve">0.9656 ; 19.8 j</w:t>
            </w:r>
          </w:p>
        </w:tc>
        <w:tc>
          <w:tcPr>
            <w:tcW w:type="dxa" w:w="14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jc w:val="left"/>
            </w:pPr>
            <w:r>
              <w:rPr>
                <w:rFonts w:ascii="Calibri" w:cs="Calibri" w:eastAsia="Calibri" w:hAnsi="Calibri"/>
                <w:b w:val="false"/>
                <w:bCs w:val="false"/>
                <w:color w:val="000000"/>
                <w:sz w:val="14"/>
                <w:szCs w:val="14"/>
              </w:rPr>
              <w:t xml:space="preserve">non exporté (package rugarch)</w:t>
            </w:r>
          </w:p>
        </w:tc>
        <w:tc>
          <w:tcPr>
            <w:tcW w:type="dxa" w:w="268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jc w:val="left"/>
            </w:pPr>
            <w:r>
              <w:rPr>
                <w:rFonts w:ascii="Calibri" w:cs="Calibri" w:eastAsia="Calibri" w:hAnsi="Calibri"/>
                <w:b w:val="false"/>
                <w:bCs w:val="false"/>
                <w:color w:val="000000"/>
                <w:sz w:val="14"/>
                <w:szCs w:val="14"/>
              </w:rPr>
              <w:t xml:space="preserve">À relancer et recopier depuis sortie_R.txt.</w:t>
            </w:r>
          </w:p>
        </w:tc>
        <w:tc>
          <w:tcPr>
            <w:tcW w:type="dxa" w:w="12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jc w:val="left"/>
            </w:pPr>
            <w:r>
              <w:rPr>
                <w:rFonts w:ascii="Calibri" w:cs="Calibri" w:eastAsia="Calibri" w:hAnsi="Calibri"/>
                <w:b w:val="false"/>
                <w:bCs w:val="false"/>
                <w:color w:val="000000"/>
                <w:sz w:val="14"/>
                <w:szCs w:val="14"/>
              </w:rPr>
              <w:t xml:space="preserve">À exporter côté R</w:t>
            </w:r>
          </w:p>
        </w:tc>
      </w:tr>
    </w:tbl>
    <w:p>
      <w:pPr>
        <w:spacing w:after="80"/>
      </w:pPr>
    </w:p>
    <w:p>
      <w:pPr>
        <w:spacing w:after="120" w:line="276"/>
        <w:jc w:val="both"/>
      </w:pPr>
      <w:r>
        <w:rPr>
          <w:rFonts w:ascii="Calibri" w:cs="Calibri" w:eastAsia="Calibri" w:hAnsi="Calibri"/>
          <w:b/>
          <w:bCs/>
          <w:sz w:val="22"/>
          <w:szCs w:val="22"/>
        </w:rPr>
        <w:t xml:space="preserve">Ce qui concorde.</w:t>
      </w:r>
      <w:r>
        <w:rPr>
          <w:rFonts w:ascii="Calibri" w:cs="Calibri" w:eastAsia="Calibri" w:hAnsi="Calibri"/>
          <w:sz w:val="22"/>
          <w:szCs w:val="22"/>
        </w:rPr>
        <w:t xml:space="preserve"> Les conclusions qualitatives sont identiques dans les deux langages : racine unitaire des niveaux et stationnarité des rendements, absence d'autocorrélation résiduelle forte dans l'ARIMA, effets ARCH écrasants, cointégration (Engle-Granger p = 0,030 et Phillips-Ouliaris p = 0,019) et coefficient de long terme (0,79 dans les deux cas). </w:t>
      </w:r>
      <w:r>
        <w:rPr>
          <w:rFonts w:ascii="Calibri" w:cs="Calibri" w:eastAsia="Calibri" w:hAnsi="Calibri"/>
          <w:b/>
          <w:bCs/>
          <w:sz w:val="22"/>
          <w:szCs w:val="22"/>
        </w:rPr>
        <w:t xml:space="preserve">Ce qui diverge</w:t>
      </w:r>
      <w:r>
        <w:rPr>
          <w:rFonts w:ascii="Calibri" w:cs="Calibri" w:eastAsia="Calibri" w:hAnsi="Calibri"/>
          <w:sz w:val="22"/>
          <w:szCs w:val="22"/>
        </w:rPr>
        <w:t xml:space="preserve"> est instructif : (i) l'ADF de R (avec tendance) et celui de Python (constante seule) diffèrent sur le niveau, d'où l'importance de toujours croiser avec le KPSS ; (ii) l'ordre ARIMA automatique varie selon l'implémentation, et statsmodels signale des avertissements de convergence là où R atteint une meilleure vraisemblance (AIC de l'ARIMA(5,1,5) : −7 954 en R contre −7 937 en Python) ; (iii) le rang de Johansen dépend de la spécification des termes déterministes. Ces écarts de mise en œuvre sont plus grands que les différences de performance entre modèles, ce qui renforce la prudence sur le classement des prévisions.</w:t>
      </w:r>
    </w:p>
    <w:p>
      <w:pPr>
        <w:pStyle w:val="Heading1"/>
        <w:keepNext/>
        <w:spacing w:after="160" w:before="360"/>
      </w:pPr>
      <w:r>
        <w:rPr>
          <w:rFonts w:ascii="Calibri" w:cs="Calibri" w:eastAsia="Calibri" w:hAnsi="Calibri"/>
          <w:b/>
          <w:bCs/>
          <w:color w:val="1F3864"/>
          <w:sz w:val="32"/>
          <w:szCs w:val="32"/>
        </w:rPr>
        <w:t xml:space="preserve">8. IA générative et LLM</w:t>
      </w:r>
    </w:p>
    <w:p>
      <w:pPr>
        <w:pStyle w:val="Heading2"/>
        <w:keepNext/>
        <w:spacing w:after="100" w:before="240"/>
      </w:pPr>
      <w:r>
        <w:rPr>
          <w:rFonts w:ascii="Calibri" w:cs="Calibri" w:eastAsia="Calibri" w:hAnsi="Calibri"/>
          <w:b/>
          <w:bCs/>
          <w:color w:val="2E75B6"/>
          <w:sz w:val="26"/>
          <w:szCs w:val="26"/>
        </w:rPr>
        <w:t xml:space="preserve">8.1 Protocole</w:t>
      </w:r>
    </w:p>
    <w:p>
      <w:pPr>
        <w:spacing w:after="120" w:line="276"/>
        <w:jc w:val="both"/>
      </w:pPr>
      <w:r>
        <w:rPr>
          <w:rFonts w:ascii="Calibri" w:cs="Calibri" w:eastAsia="Calibri" w:hAnsi="Calibri"/>
          <w:sz w:val="22"/>
          <w:szCs w:val="22"/>
        </w:rPr>
        <w:t xml:space="preserve">Trois tâches ont été confiées à un LLM à partir de prompts intégralement documentés (voir l'annexe LLM, produite par l'application Streamlit du projet) : </w:t>
      </w:r>
      <w:r>
        <w:rPr>
          <w:rFonts w:ascii="Calibri" w:cs="Calibri" w:eastAsia="Calibri" w:hAnsi="Calibri"/>
          <w:b/>
          <w:bCs/>
          <w:sz w:val="22"/>
          <w:szCs w:val="22"/>
        </w:rPr>
        <w:t xml:space="preserve">(1)</w:t>
      </w:r>
      <w:r>
        <w:rPr>
          <w:rFonts w:ascii="Calibri" w:cs="Calibri" w:eastAsia="Calibri" w:hAnsi="Calibri"/>
          <w:sz w:val="22"/>
          <w:szCs w:val="22"/>
        </w:rPr>
        <w:t xml:space="preserve"> proposer des hypothèses de modèles à partir des statistiques descriptives et des tests de stationnarité ; </w:t>
      </w:r>
      <w:r>
        <w:rPr>
          <w:rFonts w:ascii="Calibri" w:cs="Calibri" w:eastAsia="Calibri" w:hAnsi="Calibri"/>
          <w:b/>
          <w:bCs/>
          <w:sz w:val="22"/>
          <w:szCs w:val="22"/>
        </w:rPr>
        <w:t xml:space="preserve">(2)</w:t>
      </w:r>
      <w:r>
        <w:rPr>
          <w:rFonts w:ascii="Calibri" w:cs="Calibri" w:eastAsia="Calibri" w:hAnsi="Calibri"/>
          <w:sz w:val="22"/>
          <w:szCs w:val="22"/>
        </w:rPr>
        <w:t xml:space="preserve"> expliquer les résultats à un directeur financier non statisticien ; </w:t>
      </w:r>
      <w:r>
        <w:rPr>
          <w:rFonts w:ascii="Calibri" w:cs="Calibri" w:eastAsia="Calibri" w:hAnsi="Calibri"/>
          <w:b/>
          <w:bCs/>
          <w:sz w:val="22"/>
          <w:szCs w:val="22"/>
        </w:rPr>
        <w:t xml:space="preserve">(3)</w:t>
      </w:r>
      <w:r>
        <w:rPr>
          <w:rFonts w:ascii="Calibri" w:cs="Calibri" w:eastAsia="Calibri" w:hAnsi="Calibri"/>
          <w:sz w:val="22"/>
          <w:szCs w:val="22"/>
        </w:rPr>
        <w:t xml:space="preserve"> formuler des recommandations d'investissement simulées, le LLM devant lui-même énumérer les limites. Les prompts interdisaient d'inventer des chiffres. Les réponses ont été obtenues le 11 octobre 2026 et collées sans modification. Nous avons ensuite vérifié chaque affirmation chiffrée : un contrôle automatique compare les 53 nombres des trois réponses aux données fournies, puis chaque interprétation est confrontée à nos résultats.</w:t>
      </w:r>
    </w:p>
    <w:p>
      <w:pPr>
        <w:pStyle w:val="Heading2"/>
        <w:keepNext/>
        <w:spacing w:after="100" w:before="240"/>
      </w:pPr>
      <w:r>
        <w:rPr>
          <w:rFonts w:ascii="Calibri" w:cs="Calibri" w:eastAsia="Calibri" w:hAnsi="Calibri"/>
          <w:b/>
          <w:bCs/>
          <w:color w:val="2E75B6"/>
          <w:sz w:val="26"/>
          <w:szCs w:val="26"/>
        </w:rPr>
        <w:t xml:space="preserve">8.2 Ce que le LLM a produit</w:t>
      </w:r>
    </w:p>
    <w:p>
      <w:pPr>
        <w:pStyle w:val="ListParagraph"/>
        <w:numPr>
          <w:ilvl w:val="0"/>
          <w:numId w:val="2"/>
        </w:numPr>
        <w:spacing w:after="60" w:line="264"/>
      </w:pPr>
      <w:r>
        <w:rPr>
          <w:rFonts w:ascii="Calibri" w:cs="Calibri" w:eastAsia="Calibri" w:hAnsi="Calibri"/>
          <w:b/>
          <w:bCs/>
          <w:sz w:val="22"/>
          <w:szCs w:val="22"/>
        </w:rPr>
        <w:t xml:space="preserve">Hypothèses de modèles :</w:t>
      </w:r>
      <w:r>
        <w:rPr>
          <w:rFonts w:ascii="Calibri" w:cs="Calibri" w:eastAsia="Calibri" w:hAnsi="Calibri"/>
          <w:sz w:val="22"/>
          <w:szCs w:val="22"/>
        </w:rPr>
        <w:t xml:space="preserve"> une liste ordonnée et défendable (ARIMA sur log-prix, GARCH à loi de Student, ARMA-GARCH, VAR, Johansen/VECM, SARIMA, LSTM/GRU, hybrides), chacune avec son critère d'invalidation, et des précautions justes (p-value « 0,0000 » arrondie, KPSS plafonné à 0,10).</w:t>
      </w:r>
    </w:p>
    <w:p>
      <w:pPr>
        <w:pStyle w:val="ListParagraph"/>
        <w:numPr>
          <w:ilvl w:val="0"/>
          <w:numId w:val="2"/>
        </w:numPr>
        <w:spacing w:after="60" w:line="264"/>
      </w:pPr>
      <w:r>
        <w:rPr>
          <w:rFonts w:ascii="Calibri" w:cs="Calibri" w:eastAsia="Calibri" w:hAnsi="Calibri"/>
          <w:b/>
          <w:bCs/>
          <w:sz w:val="22"/>
          <w:szCs w:val="22"/>
        </w:rPr>
        <w:t xml:space="preserve">Vulgarisation :</w:t>
      </w:r>
      <w:r>
        <w:rPr>
          <w:rFonts w:ascii="Calibri" w:cs="Calibri" w:eastAsia="Calibri" w:hAnsi="Calibri"/>
          <w:sz w:val="22"/>
          <w:szCs w:val="22"/>
        </w:rPr>
        <w:t xml:space="preserve"> une note claire pour un décideur, qui explique cointégration, Granger et volatilité conditionnelle par des images simples et conclut sobrement que les modèles complexes ne battent pas le modèle naïf.</w:t>
      </w:r>
    </w:p>
    <w:p>
      <w:pPr>
        <w:pStyle w:val="ListParagraph"/>
        <w:numPr>
          <w:ilvl w:val="0"/>
          <w:numId w:val="2"/>
        </w:numPr>
        <w:spacing w:after="60" w:line="264"/>
      </w:pPr>
      <w:r>
        <w:rPr>
          <w:rFonts w:ascii="Calibri" w:cs="Calibri" w:eastAsia="Calibri" w:hAnsi="Calibri"/>
          <w:b/>
          <w:bCs/>
          <w:sz w:val="22"/>
          <w:szCs w:val="22"/>
        </w:rPr>
        <w:t xml:space="preserve">Recommandations simulées :</w:t>
      </w:r>
      <w:r>
        <w:rPr>
          <w:rFonts w:ascii="Calibri" w:cs="Calibri" w:eastAsia="Calibri" w:hAnsi="Calibri"/>
          <w:sz w:val="22"/>
          <w:szCs w:val="22"/>
        </w:rPr>
        <w:t xml:space="preserve"> une posture prudente, sans signal d'achat ni de vente, avec huit limites (efficience, coûts de transaction, instabilité des paramètres, surapprentissage, risque de modèle, test court, hausse de volatilité fragile, comparabilité KO/PEP).</w:t>
      </w:r>
    </w:p>
    <w:p>
      <w:pPr>
        <w:pStyle w:val="Heading2"/>
        <w:keepNext/>
        <w:spacing w:after="100" w:before="240"/>
      </w:pPr>
      <w:r>
        <w:rPr>
          <w:rFonts w:ascii="Calibri" w:cs="Calibri" w:eastAsia="Calibri" w:hAnsi="Calibri"/>
          <w:b/>
          <w:bCs/>
          <w:color w:val="2E75B6"/>
          <w:sz w:val="26"/>
          <w:szCs w:val="26"/>
        </w:rPr>
        <w:t xml:space="preserve">8.3 Vérification critique des affirmations du LLM</w:t>
      </w:r>
    </w:p>
    <w:p>
      <w:pPr>
        <w:keepNext/>
        <w:spacing w:after="80" w:before="120"/>
      </w:pPr>
      <w:r>
        <w:rPr>
          <w:rFonts w:ascii="Calibri" w:cs="Calibri" w:eastAsia="Calibri" w:hAnsi="Calibri"/>
          <w:i/>
          <w:iCs/>
          <w:color w:val="595959"/>
          <w:sz w:val="18"/>
          <w:szCs w:val="18"/>
        </w:rPr>
        <w:t xml:space="preserve">Tableau 12 — Détection des erreurs, simplifications et inventions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3238"/>
        <w:gridCol w:w="2300"/>
      </w:tblGrid>
      <w:tr>
        <w:trPr>
          <w:tblHeader/>
        </w:trPr>
        <w:tc>
          <w:tcPr>
            <w:tcW w:type="dxa" w:w="9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jc w:val="center"/>
            </w:pPr>
            <w:r>
              <w:rPr>
                <w:rFonts w:ascii="Calibri" w:cs="Calibri" w:eastAsia="Calibri" w:hAnsi="Calibri"/>
                <w:b/>
                <w:bCs/>
                <w:color w:val="FFFFFF"/>
                <w:sz w:val="15"/>
                <w:szCs w:val="15"/>
              </w:rPr>
              <w:t xml:space="preserve">Source</w:t>
            </w:r>
          </w:p>
        </w:tc>
        <w:tc>
          <w:tcPr>
            <w:tcW w:type="dxa" w:w="32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jc w:val="center"/>
            </w:pPr>
            <w:r>
              <w:rPr>
                <w:rFonts w:ascii="Calibri" w:cs="Calibri" w:eastAsia="Calibri" w:hAnsi="Calibri"/>
                <w:b/>
                <w:bCs/>
                <w:color w:val="FFFFFF"/>
                <w:sz w:val="15"/>
                <w:szCs w:val="15"/>
              </w:rPr>
              <w:t xml:space="preserve">Affirmation du LLM</w:t>
            </w:r>
          </w:p>
        </w:tc>
        <w:tc>
          <w:tcPr>
            <w:tcW w:type="dxa" w:w="3238"/>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jc w:val="center"/>
            </w:pPr>
            <w:r>
              <w:rPr>
                <w:rFonts w:ascii="Calibri" w:cs="Calibri" w:eastAsia="Calibri" w:hAnsi="Calibri"/>
                <w:b/>
                <w:bCs/>
                <w:color w:val="FFFFFF"/>
                <w:sz w:val="15"/>
                <w:szCs w:val="15"/>
              </w:rPr>
              <w:t xml:space="preserve">Vérification</w:t>
            </w:r>
          </w:p>
        </w:tc>
        <w:tc>
          <w:tcPr>
            <w:tcW w:type="dxa" w:w="23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jc w:val="center"/>
            </w:pPr>
            <w:r>
              <w:rPr>
                <w:rFonts w:ascii="Calibri" w:cs="Calibri" w:eastAsia="Calibri" w:hAnsi="Calibri"/>
                <w:b/>
                <w:bCs/>
                <w:color w:val="FFFFFF"/>
                <w:sz w:val="15"/>
                <w:szCs w:val="15"/>
              </w:rPr>
              <w:t xml:space="preserve">Verdict</w:t>
            </w:r>
          </w:p>
        </w:tc>
      </w:tr>
      <w:tr>
        <w:trPr>
          <w:cantSplit/>
        </w:trPr>
        <w:tc>
          <w:tcPr>
            <w:tcW w:type="dxa" w:w="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jc w:val="left"/>
            </w:pPr>
            <w:r>
              <w:rPr>
                <w:rFonts w:ascii="Calibri" w:cs="Calibri" w:eastAsia="Calibri" w:hAnsi="Calibri"/>
                <w:b w:val="false"/>
                <w:bCs w:val="false"/>
                <w:color w:val="000000"/>
                <w:sz w:val="15"/>
                <w:szCs w:val="15"/>
              </w:rPr>
              <w:t xml:space="preserve">Réponse 2</w:t>
            </w:r>
          </w:p>
        </w:tc>
        <w:tc>
          <w:tcPr>
            <w:tcW w:type="dxa" w:w="32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jc w:val="left"/>
            </w:pPr>
            <w:r>
              <w:rPr>
                <w:rFonts w:ascii="Calibri" w:cs="Calibri" w:eastAsia="Calibri" w:hAnsi="Calibri"/>
                <w:b w:val="false"/>
                <w:bCs w:val="false"/>
                <w:color w:val="000000"/>
                <w:sz w:val="15"/>
                <w:szCs w:val="15"/>
              </w:rPr>
              <w:t xml:space="preserve">« Le GRU réduit le RMSE d'environ 0,007 $ par rapport au naïf »</w:t>
            </w:r>
          </w:p>
        </w:tc>
        <w:tc>
          <w:tcPr>
            <w:tcW w:type="dxa" w:w="323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jc w:val="left"/>
            </w:pPr>
            <w:r>
              <w:rPr>
                <w:rFonts w:ascii="Calibri" w:cs="Calibri" w:eastAsia="Calibri" w:hAnsi="Calibri"/>
                <w:b w:val="false"/>
                <w:bCs w:val="false"/>
                <w:color w:val="000000"/>
                <w:sz w:val="15"/>
                <w:szCs w:val="15"/>
              </w:rPr>
              <w:t xml:space="preserve">1,4040 − 1,3970 = 0,0070</w:t>
            </w:r>
          </w:p>
        </w:tc>
        <w:tc>
          <w:tcPr>
            <w:tcW w:type="dxa" w:w="23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jc w:val="left"/>
            </w:pPr>
            <w:r>
              <w:rPr>
                <w:rFonts w:ascii="Calibri" w:cs="Calibri" w:eastAsia="Calibri" w:hAnsi="Calibri"/>
                <w:b w:val="false"/>
                <w:bCs w:val="false"/>
                <w:color w:val="000000"/>
                <w:sz w:val="15"/>
                <w:szCs w:val="15"/>
              </w:rPr>
              <w:t xml:space="preserve">Correct</w:t>
            </w:r>
          </w:p>
        </w:tc>
      </w:tr>
      <w:tr>
        <w:trPr>
          <w:cantSplit/>
        </w:trPr>
        <w:tc>
          <w:tcPr>
            <w:tcW w:type="dxa" w:w="9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jc w:val="left"/>
            </w:pPr>
            <w:r>
              <w:rPr>
                <w:rFonts w:ascii="Calibri" w:cs="Calibri" w:eastAsia="Calibri" w:hAnsi="Calibri"/>
                <w:b w:val="false"/>
                <w:bCs w:val="false"/>
                <w:color w:val="000000"/>
                <w:sz w:val="15"/>
                <w:szCs w:val="15"/>
              </w:rPr>
              <w:t xml:space="preserve">Réponse 2</w:t>
            </w:r>
          </w:p>
        </w:tc>
        <w:tc>
          <w:tcPr>
            <w:tcW w:type="dxa" w:w="32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jc w:val="left"/>
            </w:pPr>
            <w:r>
              <w:rPr>
                <w:rFonts w:ascii="Calibri" w:cs="Calibri" w:eastAsia="Calibri" w:hAnsi="Calibri"/>
                <w:b w:val="false"/>
                <w:bCs w:val="false"/>
                <w:color w:val="000000"/>
                <w:sz w:val="15"/>
                <w:szCs w:val="15"/>
              </w:rPr>
              <w:t xml:space="preserve">DM du GRU contre le naïf : p = 0,8187</w:t>
            </w:r>
          </w:p>
        </w:tc>
        <w:tc>
          <w:tcPr>
            <w:tcW w:type="dxa" w:w="323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jc w:val="left"/>
            </w:pPr>
            <w:r>
              <w:rPr>
                <w:rFonts w:ascii="Calibri" w:cs="Calibri" w:eastAsia="Calibri" w:hAnsi="Calibri"/>
                <w:b w:val="false"/>
                <w:bCs w:val="false"/>
                <w:color w:val="000000"/>
                <w:sz w:val="15"/>
                <w:szCs w:val="15"/>
              </w:rPr>
              <w:t xml:space="preserve">dm_vs_naive.csv : 0,8187</w:t>
            </w:r>
          </w:p>
        </w:tc>
        <w:tc>
          <w:tcPr>
            <w:tcW w:type="dxa" w:w="23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jc w:val="left"/>
            </w:pPr>
            <w:r>
              <w:rPr>
                <w:rFonts w:ascii="Calibri" w:cs="Calibri" w:eastAsia="Calibri" w:hAnsi="Calibri"/>
                <w:b w:val="false"/>
                <w:bCs w:val="false"/>
                <w:color w:val="000000"/>
                <w:sz w:val="15"/>
                <w:szCs w:val="15"/>
              </w:rPr>
              <w:t xml:space="preserve">Correct</w:t>
            </w:r>
          </w:p>
        </w:tc>
      </w:tr>
      <w:tr>
        <w:trPr>
          <w:cantSplit/>
        </w:trPr>
        <w:tc>
          <w:tcPr>
            <w:tcW w:type="dxa" w:w="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jc w:val="left"/>
            </w:pPr>
            <w:r>
              <w:rPr>
                <w:rFonts w:ascii="Calibri" w:cs="Calibri" w:eastAsia="Calibri" w:hAnsi="Calibri"/>
                <w:b w:val="false"/>
                <w:bCs w:val="false"/>
                <w:color w:val="000000"/>
                <w:sz w:val="15"/>
                <w:szCs w:val="15"/>
              </w:rPr>
              <w:t xml:space="preserve">Réponse 2</w:t>
            </w:r>
          </w:p>
        </w:tc>
        <w:tc>
          <w:tcPr>
            <w:tcW w:type="dxa" w:w="32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jc w:val="left"/>
            </w:pPr>
            <w:r>
              <w:rPr>
                <w:rFonts w:ascii="Calibri" w:cs="Calibri" w:eastAsia="Calibri" w:hAnsi="Calibri"/>
                <w:b w:val="false"/>
                <w:bCs w:val="false"/>
                <w:color w:val="000000"/>
                <w:sz w:val="15"/>
                <w:szCs w:val="15"/>
              </w:rPr>
              <w:t xml:space="preserve">Granger PEP→KO p = 0,0141, « relation prédictive détectée »</w:t>
            </w:r>
          </w:p>
        </w:tc>
        <w:tc>
          <w:tcPr>
            <w:tcW w:type="dxa" w:w="323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jc w:val="left"/>
            </w:pPr>
            <w:r>
              <w:rPr>
                <w:rFonts w:ascii="Calibri" w:cs="Calibri" w:eastAsia="Calibri" w:hAnsi="Calibri"/>
                <w:b w:val="false"/>
                <w:bCs w:val="false"/>
                <w:color w:val="000000"/>
                <w:sz w:val="15"/>
                <w:szCs w:val="15"/>
              </w:rPr>
              <w:t xml:space="preserve">Chiffre exact ; mais les résidus du VAR ne sont pas blancs et sont hétéroscédastiques (Tableau 4)</w:t>
            </w:r>
          </w:p>
        </w:tc>
        <w:tc>
          <w:tcPr>
            <w:tcW w:type="dxa" w:w="23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jc w:val="left"/>
            </w:pPr>
            <w:r>
              <w:rPr>
                <w:rFonts w:ascii="Calibri" w:cs="Calibri" w:eastAsia="Calibri" w:hAnsi="Calibri"/>
                <w:b w:val="false"/>
                <w:bCs w:val="false"/>
                <w:color w:val="000000"/>
                <w:sz w:val="15"/>
                <w:szCs w:val="15"/>
              </w:rPr>
              <w:t xml:space="preserve">Simplifié : test F fragile, non signalé</w:t>
            </w:r>
          </w:p>
        </w:tc>
      </w:tr>
      <w:tr>
        <w:trPr>
          <w:cantSplit/>
        </w:trPr>
        <w:tc>
          <w:tcPr>
            <w:tcW w:type="dxa" w:w="9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jc w:val="left"/>
            </w:pPr>
            <w:r>
              <w:rPr>
                <w:rFonts w:ascii="Calibri" w:cs="Calibri" w:eastAsia="Calibri" w:hAnsi="Calibri"/>
                <w:b w:val="false"/>
                <w:bCs w:val="false"/>
                <w:color w:val="000000"/>
                <w:sz w:val="15"/>
                <w:szCs w:val="15"/>
              </w:rPr>
              <w:t xml:space="preserve">Réponse 2</w:t>
            </w:r>
          </w:p>
        </w:tc>
        <w:tc>
          <w:tcPr>
            <w:tcW w:type="dxa" w:w="32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jc w:val="left"/>
            </w:pPr>
            <w:r>
              <w:rPr>
                <w:rFonts w:ascii="Calibri" w:cs="Calibri" w:eastAsia="Calibri" w:hAnsi="Calibri"/>
                <w:b w:val="false"/>
                <w:bCs w:val="false"/>
                <w:color w:val="000000"/>
                <w:sz w:val="15"/>
                <w:szCs w:val="15"/>
              </w:rPr>
              <w:t xml:space="preserve">Johansen rang 2 « inhabituel », à réexaminer</w:t>
            </w:r>
          </w:p>
        </w:tc>
        <w:tc>
          <w:tcPr>
            <w:tcW w:type="dxa" w:w="323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jc w:val="left"/>
            </w:pPr>
            <w:r>
              <w:rPr>
                <w:rFonts w:ascii="Calibri" w:cs="Calibri" w:eastAsia="Calibri" w:hAnsi="Calibri"/>
                <w:b w:val="false"/>
                <w:bCs w:val="false"/>
                <w:color w:val="000000"/>
                <w:sz w:val="15"/>
                <w:szCs w:val="15"/>
              </w:rPr>
              <w:t xml:space="preserve">R/urca : rang 1 ; statsmodels dépend de det_order</w:t>
            </w:r>
          </w:p>
        </w:tc>
        <w:tc>
          <w:tcPr>
            <w:tcW w:type="dxa" w:w="23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jc w:val="left"/>
            </w:pPr>
            <w:r>
              <w:rPr>
                <w:rFonts w:ascii="Calibri" w:cs="Calibri" w:eastAsia="Calibri" w:hAnsi="Calibri"/>
                <w:b w:val="false"/>
                <w:bCs w:val="false"/>
                <w:color w:val="000000"/>
                <w:sz w:val="15"/>
                <w:szCs w:val="15"/>
              </w:rPr>
              <w:t xml:space="preserve">Correct (doute justifié) mais non tranché</w:t>
            </w:r>
          </w:p>
        </w:tc>
      </w:tr>
      <w:tr>
        <w:trPr>
          <w:cantSplit/>
        </w:trPr>
        <w:tc>
          <w:tcPr>
            <w:tcW w:type="dxa" w:w="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jc w:val="left"/>
            </w:pPr>
            <w:r>
              <w:rPr>
                <w:rFonts w:ascii="Calibri" w:cs="Calibri" w:eastAsia="Calibri" w:hAnsi="Calibri"/>
                <w:b w:val="false"/>
                <w:bCs w:val="false"/>
                <w:color w:val="000000"/>
                <w:sz w:val="15"/>
                <w:szCs w:val="15"/>
              </w:rPr>
              <w:t xml:space="preserve">Réponse 2</w:t>
            </w:r>
          </w:p>
        </w:tc>
        <w:tc>
          <w:tcPr>
            <w:tcW w:type="dxa" w:w="32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jc w:val="left"/>
            </w:pPr>
            <w:r>
              <w:rPr>
                <w:rFonts w:ascii="Calibri" w:cs="Calibri" w:eastAsia="Calibri" w:hAnsi="Calibri"/>
                <w:b w:val="false"/>
                <w:bCs w:val="false"/>
                <w:color w:val="000000"/>
                <w:sz w:val="15"/>
                <w:szCs w:val="15"/>
              </w:rPr>
              <w:t xml:space="preserve">Demi-vie du GARCH ≈ 19,83 jours, persistance 0,9656</w:t>
            </w:r>
          </w:p>
        </w:tc>
        <w:tc>
          <w:tcPr>
            <w:tcW w:type="dxa" w:w="323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jc w:val="left"/>
            </w:pPr>
            <w:r>
              <w:rPr>
                <w:rFonts w:ascii="Calibri" w:cs="Calibri" w:eastAsia="Calibri" w:hAnsi="Calibri"/>
                <w:b w:val="false"/>
                <w:bCs w:val="false"/>
                <w:color w:val="000000"/>
                <w:sz w:val="15"/>
                <w:szCs w:val="15"/>
              </w:rPr>
              <w:t xml:space="preserve">key_results.json : 19,826 et 0,9656</w:t>
            </w:r>
          </w:p>
        </w:tc>
        <w:tc>
          <w:tcPr>
            <w:tcW w:type="dxa" w:w="23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jc w:val="left"/>
            </w:pPr>
            <w:r>
              <w:rPr>
                <w:rFonts w:ascii="Calibri" w:cs="Calibri" w:eastAsia="Calibri" w:hAnsi="Calibri"/>
                <w:b w:val="false"/>
                <w:bCs w:val="false"/>
                <w:color w:val="000000"/>
                <w:sz w:val="15"/>
                <w:szCs w:val="15"/>
              </w:rPr>
              <w:t xml:space="preserve">Correct</w:t>
            </w:r>
          </w:p>
        </w:tc>
      </w:tr>
      <w:tr>
        <w:trPr>
          <w:cantSplit/>
        </w:trPr>
        <w:tc>
          <w:tcPr>
            <w:tcW w:type="dxa" w:w="9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jc w:val="left"/>
            </w:pPr>
            <w:r>
              <w:rPr>
                <w:rFonts w:ascii="Calibri" w:cs="Calibri" w:eastAsia="Calibri" w:hAnsi="Calibri"/>
                <w:b w:val="false"/>
                <w:bCs w:val="false"/>
                <w:color w:val="000000"/>
                <w:sz w:val="15"/>
                <w:szCs w:val="15"/>
              </w:rPr>
              <w:t xml:space="preserve">Réponse 3</w:t>
            </w:r>
          </w:p>
        </w:tc>
        <w:tc>
          <w:tcPr>
            <w:tcW w:type="dxa" w:w="32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jc w:val="left"/>
            </w:pPr>
            <w:r>
              <w:rPr>
                <w:rFonts w:ascii="Calibri" w:cs="Calibri" w:eastAsia="Calibri" w:hAnsi="Calibri"/>
                <w:b w:val="false"/>
                <w:bCs w:val="false"/>
                <w:color w:val="000000"/>
                <w:sz w:val="15"/>
                <w:szCs w:val="15"/>
              </w:rPr>
              <w:t xml:space="preserve">« La volatilité prévue augmente… hausse du risque estimé »</w:t>
            </w:r>
          </w:p>
        </w:tc>
        <w:tc>
          <w:tcPr>
            <w:tcW w:type="dxa" w:w="323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jc w:val="left"/>
            </w:pPr>
            <w:r>
              <w:rPr>
                <w:rFonts w:ascii="Calibri" w:cs="Calibri" w:eastAsia="Calibri" w:hAnsi="Calibri"/>
                <w:b w:val="false"/>
                <w:bCs w:val="false"/>
                <w:color w:val="000000"/>
                <w:sz w:val="15"/>
                <w:szCs w:val="15"/>
              </w:rPr>
              <w:t xml:space="preserve">0,8596 → 0,9793 exacts, mais remontée mécanique vers la vol. inconditionnelle (≈ 1,32 %)</w:t>
            </w:r>
          </w:p>
        </w:tc>
        <w:tc>
          <w:tcPr>
            <w:tcW w:type="dxa" w:w="23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jc w:val="left"/>
            </w:pPr>
            <w:r>
              <w:rPr>
                <w:rFonts w:ascii="Calibri" w:cs="Calibri" w:eastAsia="Calibri" w:hAnsi="Calibri"/>
                <w:b w:val="false"/>
                <w:bCs w:val="false"/>
                <w:color w:val="000000"/>
                <w:sz w:val="15"/>
                <w:szCs w:val="15"/>
              </w:rPr>
              <w:t xml:space="preserve">Trompeur : interprétation faussée</w:t>
            </w:r>
          </w:p>
        </w:tc>
      </w:tr>
      <w:tr>
        <w:trPr>
          <w:cantSplit/>
        </w:trPr>
        <w:tc>
          <w:tcPr>
            <w:tcW w:type="dxa" w:w="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jc w:val="left"/>
            </w:pPr>
            <w:r>
              <w:rPr>
                <w:rFonts w:ascii="Calibri" w:cs="Calibri" w:eastAsia="Calibri" w:hAnsi="Calibri"/>
                <w:b w:val="false"/>
                <w:bCs w:val="false"/>
                <w:color w:val="000000"/>
                <w:sz w:val="15"/>
                <w:szCs w:val="15"/>
              </w:rPr>
              <w:t xml:space="preserve">Réponse 3</w:t>
            </w:r>
          </w:p>
        </w:tc>
        <w:tc>
          <w:tcPr>
            <w:tcW w:type="dxa" w:w="32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jc w:val="left"/>
            </w:pPr>
            <w:r>
              <w:rPr>
                <w:rFonts w:ascii="Calibri" w:cs="Calibri" w:eastAsia="Calibri" w:hAnsi="Calibri"/>
                <w:b w:val="false"/>
                <w:bCs w:val="false"/>
                <w:color w:val="000000"/>
                <w:sz w:val="15"/>
                <w:szCs w:val="15"/>
              </w:rPr>
              <w:t xml:space="preserve">Allocation 20 % KO / 20 % PEP / 60 % liquidités</w:t>
            </w:r>
          </w:p>
        </w:tc>
        <w:tc>
          <w:tcPr>
            <w:tcW w:type="dxa" w:w="323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jc w:val="left"/>
            </w:pPr>
            <w:r>
              <w:rPr>
                <w:rFonts w:ascii="Calibri" w:cs="Calibri" w:eastAsia="Calibri" w:hAnsi="Calibri"/>
                <w:b w:val="false"/>
                <w:bCs w:val="false"/>
                <w:color w:val="000000"/>
                <w:sz w:val="15"/>
                <w:szCs w:val="15"/>
              </w:rPr>
              <w:t xml:space="preserve">Aucune base statistique ; le LLM l'admet lui-même</w:t>
            </w:r>
          </w:p>
        </w:tc>
        <w:tc>
          <w:tcPr>
            <w:tcW w:type="dxa" w:w="23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jc w:val="left"/>
            </w:pPr>
            <w:r>
              <w:rPr>
                <w:rFonts w:ascii="Calibri" w:cs="Calibri" w:eastAsia="Calibri" w:hAnsi="Calibri"/>
                <w:b w:val="false"/>
                <w:bCs w:val="false"/>
                <w:color w:val="000000"/>
                <w:sz w:val="15"/>
                <w:szCs w:val="15"/>
              </w:rPr>
              <w:t xml:space="preserve">Inventé (assumé comme arbitraire)</w:t>
            </w:r>
          </w:p>
        </w:tc>
      </w:tr>
      <w:tr>
        <w:trPr>
          <w:cantSplit/>
        </w:trPr>
        <w:tc>
          <w:tcPr>
            <w:tcW w:type="dxa" w:w="9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jc w:val="left"/>
            </w:pPr>
            <w:r>
              <w:rPr>
                <w:rFonts w:ascii="Calibri" w:cs="Calibri" w:eastAsia="Calibri" w:hAnsi="Calibri"/>
                <w:b w:val="false"/>
                <w:bCs w:val="false"/>
                <w:color w:val="000000"/>
                <w:sz w:val="15"/>
                <w:szCs w:val="15"/>
              </w:rPr>
              <w:t xml:space="preserve">Réponse 1</w:t>
            </w:r>
          </w:p>
        </w:tc>
        <w:tc>
          <w:tcPr>
            <w:tcW w:type="dxa" w:w="32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jc w:val="left"/>
            </w:pPr>
            <w:r>
              <w:rPr>
                <w:rFonts w:ascii="Calibri" w:cs="Calibri" w:eastAsia="Calibri" w:hAnsi="Calibri"/>
                <w:b w:val="false"/>
                <w:bCs w:val="false"/>
                <w:color w:val="000000"/>
                <w:sz w:val="15"/>
                <w:szCs w:val="15"/>
              </w:rPr>
              <w:t xml:space="preserve">« Les données ne permettent pas de conclure à des effets ARCH »</w:t>
            </w:r>
          </w:p>
        </w:tc>
        <w:tc>
          <w:tcPr>
            <w:tcW w:type="dxa" w:w="323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jc w:val="left"/>
            </w:pPr>
            <w:r>
              <w:rPr>
                <w:rFonts w:ascii="Calibri" w:cs="Calibri" w:eastAsia="Calibri" w:hAnsi="Calibri"/>
                <w:b w:val="false"/>
                <w:bCs w:val="false"/>
                <w:color w:val="000000"/>
                <w:sz w:val="15"/>
                <w:szCs w:val="15"/>
              </w:rPr>
              <w:t xml:space="preserve">Vrai avec les seules statistiques fournies ; nos tests ARCH-LM (p ≈ 10⁻⁶⁴) les établissent</w:t>
            </w:r>
          </w:p>
        </w:tc>
        <w:tc>
          <w:tcPr>
            <w:tcW w:type="dxa" w:w="23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jc w:val="left"/>
            </w:pPr>
            <w:r>
              <w:rPr>
                <w:rFonts w:ascii="Calibri" w:cs="Calibri" w:eastAsia="Calibri" w:hAnsi="Calibri"/>
                <w:b w:val="false"/>
                <w:bCs w:val="false"/>
                <w:color w:val="000000"/>
                <w:sz w:val="15"/>
                <w:szCs w:val="15"/>
              </w:rPr>
              <w:t xml:space="preserve">Prudent, mais incomplet sans diagnostics</w:t>
            </w:r>
          </w:p>
        </w:tc>
      </w:tr>
      <w:tr>
        <w:trPr>
          <w:cantSplit/>
        </w:trPr>
        <w:tc>
          <w:tcPr>
            <w:tcW w:type="dxa" w:w="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jc w:val="left"/>
            </w:pPr>
            <w:r>
              <w:rPr>
                <w:rFonts w:ascii="Calibri" w:cs="Calibri" w:eastAsia="Calibri" w:hAnsi="Calibri"/>
                <w:b w:val="false"/>
                <w:bCs w:val="false"/>
                <w:color w:val="000000"/>
                <w:sz w:val="15"/>
                <w:szCs w:val="15"/>
              </w:rPr>
              <w:t xml:space="preserve">Réponse 1</w:t>
            </w:r>
          </w:p>
        </w:tc>
        <w:tc>
          <w:tcPr>
            <w:tcW w:type="dxa" w:w="32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jc w:val="left"/>
            </w:pPr>
            <w:r>
              <w:rPr>
                <w:rFonts w:ascii="Calibri" w:cs="Calibri" w:eastAsia="Calibri" w:hAnsi="Calibri"/>
                <w:b w:val="false"/>
                <w:bCs w:val="false"/>
                <w:color w:val="000000"/>
                <w:sz w:val="15"/>
                <w:szCs w:val="15"/>
              </w:rPr>
              <w:t xml:space="preserve">Modèle naïf = référence opérationnelle pour le prix</w:t>
            </w:r>
          </w:p>
        </w:tc>
        <w:tc>
          <w:tcPr>
            <w:tcW w:type="dxa" w:w="323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jc w:val="left"/>
            </w:pPr>
            <w:r>
              <w:rPr>
                <w:rFonts w:ascii="Calibri" w:cs="Calibri" w:eastAsia="Calibri" w:hAnsi="Calibri"/>
                <w:b w:val="false"/>
                <w:bCs w:val="false"/>
                <w:color w:val="000000"/>
                <w:sz w:val="15"/>
                <w:szCs w:val="15"/>
              </w:rPr>
              <w:t xml:space="preserve">Cohérent avec le test de Diebold-Mariano</w:t>
            </w:r>
          </w:p>
        </w:tc>
        <w:tc>
          <w:tcPr>
            <w:tcW w:type="dxa" w:w="23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jc w:val="left"/>
            </w:pPr>
            <w:r>
              <w:rPr>
                <w:rFonts w:ascii="Calibri" w:cs="Calibri" w:eastAsia="Calibri" w:hAnsi="Calibri"/>
                <w:b w:val="false"/>
                <w:bCs w:val="false"/>
                <w:color w:val="000000"/>
                <w:sz w:val="15"/>
                <w:szCs w:val="15"/>
              </w:rPr>
              <w:t xml:space="preserve">Correct</w:t>
            </w:r>
          </w:p>
        </w:tc>
      </w:tr>
      <w:tr>
        <w:trPr>
          <w:cantSplit/>
        </w:trPr>
        <w:tc>
          <w:tcPr>
            <w:tcW w:type="dxa" w:w="9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jc w:val="left"/>
            </w:pPr>
            <w:r>
              <w:rPr>
                <w:rFonts w:ascii="Calibri" w:cs="Calibri" w:eastAsia="Calibri" w:hAnsi="Calibri"/>
                <w:b w:val="false"/>
                <w:bCs w:val="false"/>
                <w:color w:val="000000"/>
                <w:sz w:val="15"/>
                <w:szCs w:val="15"/>
              </w:rPr>
              <w:t xml:space="preserve">Réponse 1</w:t>
            </w:r>
          </w:p>
        </w:tc>
        <w:tc>
          <w:tcPr>
            <w:tcW w:type="dxa" w:w="32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jc w:val="left"/>
            </w:pPr>
            <w:r>
              <w:rPr>
                <w:rFonts w:ascii="Calibri" w:cs="Calibri" w:eastAsia="Calibri" w:hAnsi="Calibri"/>
                <w:b w:val="false"/>
                <w:bCs w:val="false"/>
                <w:color w:val="000000"/>
                <w:sz w:val="15"/>
                <w:szCs w:val="15"/>
              </w:rPr>
              <w:t xml:space="preserve">Équations du VAR et du I(1)</w:t>
            </w:r>
          </w:p>
        </w:tc>
        <w:tc>
          <w:tcPr>
            <w:tcW w:type="dxa" w:w="323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jc w:val="left"/>
            </w:pPr>
            <w:r>
              <w:rPr>
                <w:rFonts w:ascii="Calibri" w:cs="Calibri" w:eastAsia="Calibri" w:hAnsi="Calibri"/>
                <w:b w:val="false"/>
                <w:bCs w:val="false"/>
                <w:color w:val="000000"/>
                <w:sz w:val="15"/>
                <w:szCs w:val="15"/>
              </w:rPr>
              <w:t xml:space="preserve">Formules LaTeX corrompues au copier-coller (« I(1)I(1)I(1) »)</w:t>
            </w:r>
          </w:p>
        </w:tc>
        <w:tc>
          <w:tcPr>
            <w:tcW w:type="dxa" w:w="23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jc w:val="left"/>
            </w:pPr>
            <w:r>
              <w:rPr>
                <w:rFonts w:ascii="Calibri" w:cs="Calibri" w:eastAsia="Calibri" w:hAnsi="Calibri"/>
                <w:b w:val="false"/>
                <w:bCs w:val="false"/>
                <w:color w:val="000000"/>
                <w:sz w:val="15"/>
                <w:szCs w:val="15"/>
              </w:rPr>
              <w:t xml:space="preserve">Défaut de mise en forme, pas d'erreur statistique</w:t>
            </w:r>
          </w:p>
        </w:tc>
      </w:tr>
    </w:tbl>
    <w:p>
      <w:pPr>
        <w:spacing w:after="80"/>
      </w:pPr>
    </w:p>
    <w:p>
      <w:pPr>
        <w:spacing w:after="120" w:line="276"/>
        <w:jc w:val="both"/>
      </w:pPr>
      <w:r>
        <w:rPr>
          <w:rFonts w:ascii="Calibri" w:cs="Calibri" w:eastAsia="Calibri" w:hAnsi="Calibri"/>
          <w:sz w:val="22"/>
          <w:szCs w:val="22"/>
        </w:rPr>
        <w:t xml:space="preserve">Le contrôle automatique n'a détecté </w:t>
      </w:r>
      <w:r>
        <w:rPr>
          <w:rFonts w:ascii="Calibri" w:cs="Calibri" w:eastAsia="Calibri" w:hAnsi="Calibri"/>
          <w:b/>
          <w:bCs/>
          <w:sz w:val="22"/>
          <w:szCs w:val="22"/>
        </w:rPr>
        <w:t xml:space="preserve">aucun nombre inventé</w:t>
      </w:r>
      <w:r>
        <w:rPr>
          <w:rFonts w:ascii="Calibri" w:cs="Calibri" w:eastAsia="Calibri" w:hAnsi="Calibri"/>
          <w:sz w:val="22"/>
          <w:szCs w:val="22"/>
        </w:rPr>
        <w:t xml:space="preserve"> parmi les 53 relevés : les chiffres du LLM proviennent des tableaux fournis, ce qui montre l'intérêt d'imposer les données dans le prompt et d'interdire d'inventer. Les erreurs sont d'</w:t>
      </w:r>
      <w:r>
        <w:rPr>
          <w:rFonts w:ascii="Calibri" w:cs="Calibri" w:eastAsia="Calibri" w:hAnsi="Calibri"/>
          <w:b/>
          <w:bCs/>
          <w:sz w:val="22"/>
          <w:szCs w:val="22"/>
        </w:rPr>
        <w:t xml:space="preserve">interprétation</w:t>
      </w:r>
      <w:r>
        <w:rPr>
          <w:rFonts w:ascii="Calibri" w:cs="Calibri" w:eastAsia="Calibri" w:hAnsi="Calibri"/>
          <w:sz w:val="22"/>
          <w:szCs w:val="22"/>
        </w:rPr>
        <w:t xml:space="preserve">, et non de calcul, et sont plus difficiles à voir.</w:t>
      </w:r>
    </w:p>
    <w:p>
      <w:pPr>
        <w:pStyle w:val="Heading2"/>
        <w:keepNext/>
        <w:spacing w:after="100" w:before="240"/>
      </w:pPr>
      <w:r>
        <w:rPr>
          <w:rFonts w:ascii="Calibri" w:cs="Calibri" w:eastAsia="Calibri" w:hAnsi="Calibri"/>
          <w:b/>
          <w:bCs/>
          <w:color w:val="2E75B6"/>
          <w:sz w:val="26"/>
          <w:szCs w:val="26"/>
        </w:rPr>
        <w:t xml:space="preserve">8.4 Convergences et divergences avec l'interprétation experte</w:t>
      </w:r>
    </w:p>
    <w:p>
      <w:pPr>
        <w:spacing w:after="120" w:line="276"/>
        <w:jc w:val="both"/>
      </w:pPr>
      <w:r>
        <w:rPr>
          <w:rFonts w:ascii="Calibri" w:cs="Calibri" w:eastAsia="Calibri" w:hAnsi="Calibri"/>
          <w:b/>
          <w:bCs/>
          <w:sz w:val="22"/>
          <w:szCs w:val="22"/>
        </w:rPr>
        <w:t xml:space="preserve">Convergences.</w:t>
      </w:r>
      <w:r>
        <w:rPr>
          <w:rFonts w:ascii="Calibri" w:cs="Calibri" w:eastAsia="Calibri" w:hAnsi="Calibri"/>
          <w:sz w:val="22"/>
          <w:szCs w:val="22"/>
        </w:rPr>
        <w:t xml:space="preserve"> L'interprétation experte et le LLM s'accordent sur l'essentiel : log-prix I(1), pertinence d'une loi de Student, absence de gain démontré des réseaux récurrents, choix du modèle naïf ou de l'ARIMA pour le prix et du GARCH pour le risque, et rappel que Granger n'est pas une causalité économique.</w:t>
      </w:r>
    </w:p>
    <w:p>
      <w:pPr>
        <w:spacing w:after="120" w:line="276"/>
        <w:jc w:val="both"/>
      </w:pPr>
      <w:r>
        <w:rPr>
          <w:rFonts w:ascii="Calibri" w:cs="Calibri" w:eastAsia="Calibri" w:hAnsi="Calibri"/>
          <w:b/>
          <w:bCs/>
          <w:sz w:val="22"/>
          <w:szCs w:val="22"/>
        </w:rPr>
        <w:t xml:space="preserve">Divergences.</w:t>
      </w:r>
      <w:r>
        <w:rPr>
          <w:rFonts w:ascii="Calibri" w:cs="Calibri" w:eastAsia="Calibri" w:hAnsi="Calibri"/>
          <w:sz w:val="22"/>
          <w:szCs w:val="22"/>
        </w:rPr>
        <w:t xml:space="preserve"> (i) Le LLM ne dispose que de ce que le prompt lui donne : il ne pouvait pas savoir que les résidus du VAR échouent au test du portemanteau ni que le SARIMA se réduit à l'ARIMA, deux faits issus du diagnostic. (ii) Il n'a pas tranché le rang de Johansen, que la vérification croisée R/Python a résolu. (iii) Il a présenté la hausse de volatilité prévue comme un signal de risque, alors qu'elle traduit un retour à la moyenne. (iv) Ses recommandations d'allocation sont génériques et arbitraires. Le LLM a donc fait gagner du temps sur la structuration et la vulgarisation, mais </w:t>
      </w:r>
      <w:r>
        <w:rPr>
          <w:rFonts w:ascii="Calibri" w:cs="Calibri" w:eastAsia="Calibri" w:hAnsi="Calibri"/>
          <w:b/>
          <w:bCs/>
          <w:sz w:val="22"/>
          <w:szCs w:val="22"/>
        </w:rPr>
        <w:t xml:space="preserve">n'a pas su</w:t>
      </w:r>
      <w:r>
        <w:rPr>
          <w:rFonts w:ascii="Calibri" w:cs="Calibri" w:eastAsia="Calibri" w:hAnsi="Calibri"/>
          <w:sz w:val="22"/>
          <w:szCs w:val="22"/>
        </w:rPr>
        <w:t xml:space="preserve"> valider un diagnostic, vérifier une spécification ou résister à la tentation de conclure.</w:t>
      </w:r>
    </w:p>
    <w:p>
      <w:pPr>
        <w:pStyle w:val="Heading1"/>
        <w:keepNext/>
        <w:spacing w:after="160" w:before="360"/>
      </w:pPr>
      <w:r>
        <w:rPr>
          <w:rFonts w:ascii="Calibri" w:cs="Calibri" w:eastAsia="Calibri" w:hAnsi="Calibri"/>
          <w:b/>
          <w:bCs/>
          <w:color w:val="1F3864"/>
          <w:sz w:val="32"/>
          <w:szCs w:val="32"/>
        </w:rPr>
        <w:t xml:space="preserve">9. Discussion critique</w:t>
      </w:r>
    </w:p>
    <w:p>
      <w:pPr>
        <w:pStyle w:val="Heading2"/>
        <w:keepNext/>
        <w:spacing w:after="100" w:before="240"/>
      </w:pPr>
      <w:r>
        <w:rPr>
          <w:rFonts w:ascii="Calibri" w:cs="Calibri" w:eastAsia="Calibri" w:hAnsi="Calibri"/>
          <w:b/>
          <w:bCs/>
          <w:color w:val="2E75B6"/>
          <w:sz w:val="26"/>
          <w:szCs w:val="26"/>
        </w:rPr>
        <w:t xml:space="preserve">9.1 Limites des modèles et de l'étude</w:t>
      </w:r>
    </w:p>
    <w:p>
      <w:pPr>
        <w:pStyle w:val="ListParagraph"/>
        <w:numPr>
          <w:ilvl w:val="0"/>
          <w:numId w:val="2"/>
        </w:numPr>
        <w:spacing w:after="60" w:line="264"/>
      </w:pPr>
      <w:r>
        <w:rPr>
          <w:rFonts w:ascii="Calibri" w:cs="Calibri" w:eastAsia="Calibri" w:hAnsi="Calibri"/>
          <w:b/>
          <w:bCs/>
          <w:sz w:val="22"/>
          <w:szCs w:val="22"/>
        </w:rPr>
        <w:t xml:space="preserve">Échantillon test court :</w:t>
      </w:r>
      <w:r>
        <w:rPr>
          <w:rFonts w:ascii="Calibri" w:cs="Calibri" w:eastAsia="Calibri" w:hAnsi="Calibri"/>
          <w:sz w:val="22"/>
          <w:szCs w:val="22"/>
        </w:rPr>
        <w:t xml:space="preserve"> 151 séances (15 blocs de 10 jours) et un seul découpage ; le test de Diebold-Mariano a un pouvoir faible. L'absence de significativité ne prouve pas l'équivalence des modèles.</w:t>
      </w:r>
    </w:p>
    <w:p>
      <w:pPr>
        <w:pStyle w:val="ListParagraph"/>
        <w:numPr>
          <w:ilvl w:val="0"/>
          <w:numId w:val="2"/>
        </w:numPr>
        <w:spacing w:after="60" w:line="264"/>
      </w:pPr>
      <w:r>
        <w:rPr>
          <w:rFonts w:ascii="Calibri" w:cs="Calibri" w:eastAsia="Calibri" w:hAnsi="Calibri"/>
          <w:b/>
          <w:bCs/>
          <w:sz w:val="22"/>
          <w:szCs w:val="22"/>
        </w:rPr>
        <w:t xml:space="preserve">Hypothèses violées :</w:t>
      </w:r>
      <w:r>
        <w:rPr>
          <w:rFonts w:ascii="Calibri" w:cs="Calibri" w:eastAsia="Calibri" w:hAnsi="Calibri"/>
          <w:sz w:val="22"/>
          <w:szCs w:val="22"/>
        </w:rPr>
        <w:t xml:space="preserve"> résidus non normaux et hétéroscédastiques pour l'ARIMA et le VAR ; résidus du VAR non blancs (Granger fragile) ; intervalles de prédiction ARIMA non fiables faute de variance constante.</w:t>
      </w:r>
    </w:p>
    <w:p>
      <w:pPr>
        <w:pStyle w:val="ListParagraph"/>
        <w:numPr>
          <w:ilvl w:val="0"/>
          <w:numId w:val="2"/>
        </w:numPr>
        <w:spacing w:after="60" w:line="264"/>
      </w:pPr>
      <w:r>
        <w:rPr>
          <w:rFonts w:ascii="Calibri" w:cs="Calibri" w:eastAsia="Calibri" w:hAnsi="Calibri"/>
          <w:b/>
          <w:bCs/>
          <w:sz w:val="22"/>
          <w:szCs w:val="22"/>
        </w:rPr>
        <w:t xml:space="preserve">Instabilité des estimations :</w:t>
      </w:r>
      <w:r>
        <w:rPr>
          <w:rFonts w:ascii="Calibri" w:cs="Calibri" w:eastAsia="Calibri" w:hAnsi="Calibri"/>
          <w:sz w:val="22"/>
          <w:szCs w:val="22"/>
        </w:rPr>
        <w:t xml:space="preserve"> ordre ARIMA dépendant de l'implémentation et de l'optimiseur, rang de Johansen sensible à la spécification, ADF sensible à la tendance, ordre du VAR différent selon BIC (1) ou AIC (9-10).</w:t>
      </w:r>
    </w:p>
    <w:p>
      <w:pPr>
        <w:pStyle w:val="ListParagraph"/>
        <w:numPr>
          <w:ilvl w:val="0"/>
          <w:numId w:val="2"/>
        </w:numPr>
        <w:spacing w:after="60" w:line="264"/>
      </w:pPr>
      <w:r>
        <w:rPr>
          <w:rFonts w:ascii="Calibri" w:cs="Calibri" w:eastAsia="Calibri" w:hAnsi="Calibri"/>
          <w:b/>
          <w:bCs/>
          <w:sz w:val="22"/>
          <w:szCs w:val="22"/>
        </w:rPr>
        <w:t xml:space="preserve">Cointégration :</w:t>
      </w:r>
      <w:r>
        <w:rPr>
          <w:rFonts w:ascii="Calibri" w:cs="Calibri" w:eastAsia="Calibri" w:hAnsi="Calibri"/>
          <w:sz w:val="22"/>
          <w:szCs w:val="22"/>
        </w:rPr>
        <w:t xml:space="preserve"> relation estimée sur six ans incluant la rupture de 2020 ; la stabilité de β sur sous-périodes n'a pas été testée.</w:t>
      </w:r>
    </w:p>
    <w:p>
      <w:pPr>
        <w:pStyle w:val="ListParagraph"/>
        <w:numPr>
          <w:ilvl w:val="0"/>
          <w:numId w:val="2"/>
        </w:numPr>
        <w:spacing w:after="60" w:line="264"/>
      </w:pPr>
      <w:r>
        <w:rPr>
          <w:rFonts w:ascii="Calibri" w:cs="Calibri" w:eastAsia="Calibri" w:hAnsi="Calibri"/>
          <w:b/>
          <w:bCs/>
          <w:sz w:val="22"/>
          <w:szCs w:val="22"/>
        </w:rPr>
        <w:t xml:space="preserve">Réseaux de neurones :</w:t>
      </w:r>
      <w:r>
        <w:rPr>
          <w:rFonts w:ascii="Calibri" w:cs="Calibri" w:eastAsia="Calibri" w:hAnsi="Calibri"/>
          <w:sz w:val="22"/>
          <w:szCs w:val="22"/>
        </w:rPr>
        <w:t xml:space="preserve"> environ 1 300 fenêtres seulement, grille d'hyperparamètres réduite (8 configurations), un seul entraînement pour le test final (alors que les modèles classiques sont ré-estimés), résultats non distinguables de la baseline.</w:t>
      </w:r>
    </w:p>
    <w:p>
      <w:pPr>
        <w:pStyle w:val="ListParagraph"/>
        <w:numPr>
          <w:ilvl w:val="0"/>
          <w:numId w:val="2"/>
        </w:numPr>
        <w:spacing w:after="60" w:line="264"/>
      </w:pPr>
      <w:r>
        <w:rPr>
          <w:rFonts w:ascii="Calibri" w:cs="Calibri" w:eastAsia="Calibri" w:hAnsi="Calibri"/>
          <w:b/>
          <w:bCs/>
          <w:sz w:val="22"/>
          <w:szCs w:val="22"/>
        </w:rPr>
        <w:t xml:space="preserve">Périmètre :</w:t>
      </w:r>
      <w:r>
        <w:rPr>
          <w:rFonts w:ascii="Calibri" w:cs="Calibri" w:eastAsia="Calibri" w:hAnsi="Calibri"/>
          <w:sz w:val="22"/>
          <w:szCs w:val="22"/>
        </w:rPr>
        <w:t xml:space="preserve"> un seul actif prévu (KO), horizon unique, sans coûts de transaction ; les prix ajustés sont recalculés rétrospectivement à chaque dividende.</w:t>
      </w:r>
    </w:p>
    <w:p>
      <w:pPr>
        <w:pStyle w:val="ListParagraph"/>
        <w:numPr>
          <w:ilvl w:val="0"/>
          <w:numId w:val="2"/>
        </w:numPr>
        <w:spacing w:after="60" w:line="264"/>
      </w:pPr>
      <w:r>
        <w:rPr>
          <w:rFonts w:ascii="Calibri" w:cs="Calibri" w:eastAsia="Calibri" w:hAnsi="Calibri"/>
          <w:b/>
          <w:bCs/>
          <w:sz w:val="22"/>
          <w:szCs w:val="22"/>
        </w:rPr>
        <w:t xml:space="preserve">Non réalisé :</w:t>
      </w:r>
      <w:r>
        <w:rPr>
          <w:rFonts w:ascii="Calibri" w:cs="Calibri" w:eastAsia="Calibri" w:hAnsi="Calibri"/>
          <w:sz w:val="22"/>
          <w:szCs w:val="22"/>
        </w:rPr>
        <w:t xml:space="preserve"> approches hybrides (ARIMA + LSTM), modèles additionnels (Prophet, N-BEATS, TFT) et extensions de la section 7 du cahier des charges (variables exogènes textuelles, FinBERT, DCC-GARCH).</w:t>
      </w:r>
    </w:p>
    <w:p>
      <w:pPr>
        <w:pStyle w:val="Heading2"/>
        <w:keepNext/>
        <w:spacing w:after="100" w:before="240"/>
      </w:pPr>
      <w:r>
        <w:rPr>
          <w:rFonts w:ascii="Calibri" w:cs="Calibri" w:eastAsia="Calibri" w:hAnsi="Calibri"/>
          <w:b/>
          <w:bCs/>
          <w:color w:val="2E75B6"/>
          <w:sz w:val="26"/>
          <w:szCs w:val="26"/>
        </w:rPr>
        <w:t xml:space="preserve">9.2 Avantages et inconvénients de l'IA générative pour les séries temporelles financières</w:t>
      </w:r>
    </w:p>
    <w:p>
      <w:pPr>
        <w:spacing w:after="120" w:line="276"/>
        <w:jc w:val="both"/>
      </w:pPr>
      <w:r>
        <w:rPr>
          <w:rFonts w:ascii="Calibri" w:cs="Calibri" w:eastAsia="Calibri" w:hAnsi="Calibri"/>
          <w:b/>
          <w:bCs/>
          <w:sz w:val="22"/>
          <w:szCs w:val="22"/>
        </w:rPr>
        <w:t xml:space="preserve">Avantages.</w:t>
      </w:r>
      <w:r>
        <w:rPr>
          <w:rFonts w:ascii="Calibri" w:cs="Calibri" w:eastAsia="Calibri" w:hAnsi="Calibri"/>
          <w:sz w:val="22"/>
          <w:szCs w:val="22"/>
        </w:rPr>
        <w:t xml:space="preserve"> Gain de temps pour structurer un plan de modélisation, vérifier qu'aucun modèle n'est oublié, produire des critères d'invalidation, vulgariser pour un décideur, et jouer l'avocat du diable sur ses propres conclusions. Dans notre cas, le LLM a repéré spontanément l'incohérence du rang de Johansen et a refusé de recommander un modèle complexe sans gain démontré.</w:t>
      </w:r>
    </w:p>
    <w:p>
      <w:pPr>
        <w:spacing w:after="120" w:line="276"/>
        <w:jc w:val="both"/>
      </w:pPr>
      <w:r>
        <w:rPr>
          <w:rFonts w:ascii="Calibri" w:cs="Calibri" w:eastAsia="Calibri" w:hAnsi="Calibri"/>
          <w:b/>
          <w:bCs/>
          <w:sz w:val="22"/>
          <w:szCs w:val="22"/>
        </w:rPr>
        <w:t xml:space="preserve">Inconvénients.</w:t>
      </w:r>
      <w:r>
        <w:rPr>
          <w:rFonts w:ascii="Calibri" w:cs="Calibri" w:eastAsia="Calibri" w:hAnsi="Calibri"/>
          <w:sz w:val="22"/>
          <w:szCs w:val="22"/>
        </w:rPr>
        <w:t xml:space="preserve"> (i) Il n'accède pas aux diagnostics qu'on ne lui donne pas, et produit pourtant un discours assuré. (ii) Il peut inventer ou arrondir des chiffres (ici absent, mais le risque existe sans consigne explicite) et surtout des </w:t>
      </w:r>
      <w:r>
        <w:rPr>
          <w:rFonts w:ascii="Calibri" w:cs="Calibri" w:eastAsia="Calibri" w:hAnsi="Calibri"/>
          <w:b/>
          <w:bCs/>
          <w:sz w:val="22"/>
          <w:szCs w:val="22"/>
        </w:rPr>
        <w:t xml:space="preserve">causalités</w:t>
      </w:r>
      <w:r>
        <w:rPr>
          <w:rFonts w:ascii="Calibri" w:cs="Calibri" w:eastAsia="Calibri" w:hAnsi="Calibri"/>
          <w:sz w:val="22"/>
          <w:szCs w:val="22"/>
        </w:rPr>
        <w:t xml:space="preserve"> et des interprétations plausibles mais fausses (la hausse de volatilité prévue). (iii) Non-reproductibilité : la réponse dépend de la version du modèle et du hasard d'échantillonnage. (iv) Risque de sur-confiance et de copie sans relecture, particulièrement dangereux en finance où une recommandation simulée peut être prise pour un conseil. (v) Confidentialité des données envoyées. </w:t>
      </w:r>
      <w:r>
        <w:rPr>
          <w:rFonts w:ascii="Calibri" w:cs="Calibri" w:eastAsia="Calibri" w:hAnsi="Calibri"/>
          <w:b/>
          <w:bCs/>
          <w:sz w:val="22"/>
          <w:szCs w:val="22"/>
        </w:rPr>
        <w:t xml:space="preserve">L'IA est utile comme assistant, jamais comme arbitre statistique</w:t>
      </w:r>
      <w:r>
        <w:rPr>
          <w:rFonts w:ascii="Calibri" w:cs="Calibri" w:eastAsia="Calibri" w:hAnsi="Calibri"/>
          <w:sz w:val="22"/>
          <w:szCs w:val="22"/>
        </w:rPr>
        <w:t xml:space="preserve"> : chaque affirmation chiffrée ou causale doit être confrontée aux sorties du code.</w:t>
      </w:r>
    </w:p>
    <w:p>
      <w:pPr>
        <w:pStyle w:val="Heading1"/>
        <w:keepNext/>
        <w:spacing w:after="160" w:before="360"/>
      </w:pPr>
      <w:r>
        <w:rPr>
          <w:rFonts w:ascii="Calibri" w:cs="Calibri" w:eastAsia="Calibri" w:hAnsi="Calibri"/>
          <w:b/>
          <w:bCs/>
          <w:color w:val="1F3864"/>
          <w:sz w:val="32"/>
          <w:szCs w:val="32"/>
        </w:rPr>
        <w:t xml:space="preserve">10. Conclusion</w:t>
      </w:r>
    </w:p>
    <w:p>
      <w:pPr>
        <w:spacing w:after="120" w:line="276"/>
        <w:jc w:val="both"/>
      </w:pPr>
      <w:r>
        <w:rPr>
          <w:rFonts w:ascii="Calibri" w:cs="Calibri" w:eastAsia="Calibri" w:hAnsi="Calibri"/>
          <w:sz w:val="22"/>
          <w:szCs w:val="22"/>
        </w:rPr>
        <w:t xml:space="preserve">Ce projet a suivi un pipeline complet, de la donnée brute aux prévisions évaluées, en justifiant chaque modèle par un diagnostic. Les résultats solides sont : des log-prix I(1), des effets ARCH massifs, une cointégration entre KO et PEP où c'est KO qui s'ajuste (2,1 % par jour), et un GARCH(1,1)-t correctement diagnostiqué dont la volatilité conditionnelle retrace la crise de mars 2020. Le résultat principal en prévision est négatif et honnête : </w:t>
      </w:r>
      <w:r>
        <w:rPr>
          <w:rFonts w:ascii="Calibri" w:cs="Calibri" w:eastAsia="Calibri" w:hAnsi="Calibri"/>
          <w:b/>
          <w:bCs/>
          <w:sz w:val="22"/>
          <w:szCs w:val="22"/>
        </w:rPr>
        <w:t xml:space="preserve">aucun modèle, classique ou neuronal, ne bat significativement la marche aléatoire à 10 jours</w:t>
      </w:r>
      <w:r>
        <w:rPr>
          <w:rFonts w:ascii="Calibri" w:cs="Calibri" w:eastAsia="Calibri" w:hAnsi="Calibri"/>
          <w:sz w:val="22"/>
          <w:szCs w:val="22"/>
        </w:rPr>
        <w:t xml:space="preserve">. La valeur ajoutée des modèles est donc ailleurs, dans la compréhension (VECM) et la mesure du risque (GARCH), et non dans la prédiction du prix. Les pistes suivantes seraient une approche hybride ARIMA-GARCH-LSTM, un test de stabilité de la cointégration, un test de Granger robuste à l'hétéroscédasticité et un échantillon test plus long en validation glissante.</w:t>
      </w:r>
    </w:p>
    <w:p>
      <w:r>
        <w:br w:type="page"/>
      </w:r>
    </w:p>
    <w:p>
      <w:pPr>
        <w:pStyle w:val="Heading1"/>
        <w:keepNext/>
        <w:spacing w:after="160" w:before="360"/>
      </w:pPr>
      <w:r>
        <w:rPr>
          <w:rFonts w:ascii="Calibri" w:cs="Calibri" w:eastAsia="Calibri" w:hAnsi="Calibri"/>
          <w:b/>
          <w:bCs/>
          <w:color w:val="1F3864"/>
          <w:sz w:val="32"/>
          <w:szCs w:val="32"/>
        </w:rPr>
        <w:t xml:space="preserve">Annexe A — Correspondance avec le cahier des charges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4500"/>
        <w:gridCol w:w="2338"/>
        <w:gridCol w:w="1600"/>
      </w:tblGrid>
      <w:tr>
        <w:trPr>
          <w:tblHeader/>
        </w:trPr>
        <w:tc>
          <w:tcPr>
            <w:tcW w:type="dxa" w:w="12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jc w:val="center"/>
            </w:pPr>
            <w:r>
              <w:rPr>
                <w:rFonts w:ascii="Calibri" w:cs="Calibri" w:eastAsia="Calibri" w:hAnsi="Calibri"/>
                <w:b/>
                <w:bCs/>
                <w:color w:val="FFFFFF"/>
                <w:sz w:val="16"/>
                <w:szCs w:val="16"/>
              </w:rPr>
              <w:t xml:space="preserve">Section</w:t>
            </w:r>
          </w:p>
        </w:tc>
        <w:tc>
          <w:tcPr>
            <w:tcW w:type="dxa" w:w="45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jc w:val="center"/>
            </w:pPr>
            <w:r>
              <w:rPr>
                <w:rFonts w:ascii="Calibri" w:cs="Calibri" w:eastAsia="Calibri" w:hAnsi="Calibri"/>
                <w:b/>
                <w:bCs/>
                <w:color w:val="FFFFFF"/>
                <w:sz w:val="16"/>
                <w:szCs w:val="16"/>
              </w:rPr>
              <w:t xml:space="preserve">Exigence</w:t>
            </w:r>
          </w:p>
        </w:tc>
        <w:tc>
          <w:tcPr>
            <w:tcW w:type="dxa" w:w="2338"/>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jc w:val="center"/>
            </w:pPr>
            <w:r>
              <w:rPr>
                <w:rFonts w:ascii="Calibri" w:cs="Calibri" w:eastAsia="Calibri" w:hAnsi="Calibri"/>
                <w:b/>
                <w:bCs/>
                <w:color w:val="FFFFFF"/>
                <w:sz w:val="16"/>
                <w:szCs w:val="16"/>
              </w:rPr>
              <w:t xml:space="preserve">Statut</w:t>
            </w:r>
          </w:p>
        </w:tc>
        <w:tc>
          <w:tcPr>
            <w:tcW w:type="dxa" w:w="16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center"/>
          </w:tcPr>
          <w:p>
            <w:pPr>
              <w:jc w:val="center"/>
            </w:pPr>
            <w:r>
              <w:rPr>
                <w:rFonts w:ascii="Calibri" w:cs="Calibri" w:eastAsia="Calibri" w:hAnsi="Calibri"/>
                <w:b/>
                <w:bCs/>
                <w:color w:val="FFFFFF"/>
                <w:sz w:val="16"/>
                <w:szCs w:val="16"/>
              </w:rPr>
              <w:t xml:space="preserve">Où</w:t>
            </w:r>
          </w:p>
        </w:tc>
      </w:tr>
      <w:tr>
        <w:trPr>
          <w:cantSplit/>
        </w:trPr>
        <w:tc>
          <w:tcPr>
            <w:tcW w:type="dxa" w:w="12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jc w:val="left"/>
            </w:pPr>
            <w:r>
              <w:rPr>
                <w:rFonts w:ascii="Calibri" w:cs="Calibri" w:eastAsia="Calibri" w:hAnsi="Calibri"/>
                <w:b w:val="false"/>
                <w:bCs w:val="false"/>
                <w:color w:val="000000"/>
                <w:sz w:val="16"/>
                <w:szCs w:val="16"/>
              </w:rPr>
              <w:t xml:space="preserve">1.1 / 1.3</w:t>
            </w:r>
          </w:p>
        </w:tc>
        <w:tc>
          <w:tcPr>
            <w:tcW w:type="dxa" w:w="4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jc w:val="left"/>
            </w:pPr>
            <w:r>
              <w:rPr>
                <w:rFonts w:ascii="Calibri" w:cs="Calibri" w:eastAsia="Calibri" w:hAnsi="Calibri"/>
                <w:b w:val="false"/>
                <w:bCs w:val="false"/>
                <w:color w:val="000000"/>
                <w:sz w:val="16"/>
                <w:szCs w:val="16"/>
              </w:rPr>
              <w:t xml:space="preserve">Données Yahoo, ≥ 5 ans, indicateur dérivé, série native, split 90/10, source documentée</w:t>
            </w:r>
          </w:p>
        </w:tc>
        <w:tc>
          <w:tcPr>
            <w:tcW w:type="dxa" w:w="233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jc w:val="left"/>
            </w:pPr>
            <w:r>
              <w:rPr>
                <w:rFonts w:ascii="Calibri" w:cs="Calibri" w:eastAsia="Calibri" w:hAnsi="Calibri"/>
                <w:b w:val="false"/>
                <w:bCs w:val="false"/>
                <w:color w:val="000000"/>
                <w:sz w:val="16"/>
                <w:szCs w:val="16"/>
              </w:rPr>
              <w:t xml:space="preserve">Réalisé</w:t>
            </w:r>
          </w:p>
        </w:tc>
        <w:tc>
          <w:tcPr>
            <w:tcW w:type="dxa" w:w="16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jc w:val="left"/>
            </w:pPr>
            <w:r>
              <w:rPr>
                <w:rFonts w:ascii="Calibri" w:cs="Calibri" w:eastAsia="Calibri" w:hAnsi="Calibri"/>
                <w:b w:val="false"/>
                <w:bCs w:val="false"/>
                <w:color w:val="000000"/>
                <w:sz w:val="16"/>
                <w:szCs w:val="16"/>
              </w:rPr>
              <w:t xml:space="preserve">§2 ; python/01</w:t>
            </w:r>
          </w:p>
        </w:tc>
      </w:tr>
      <w:tr>
        <w:trPr>
          <w:cantSplit/>
        </w:trPr>
        <w:tc>
          <w:tcPr>
            <w:tcW w:type="dxa" w:w="12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jc w:val="left"/>
            </w:pPr>
            <w:r>
              <w:rPr>
                <w:rFonts w:ascii="Calibri" w:cs="Calibri" w:eastAsia="Calibri" w:hAnsi="Calibri"/>
                <w:b w:val="false"/>
                <w:bCs w:val="false"/>
                <w:color w:val="000000"/>
                <w:sz w:val="16"/>
                <w:szCs w:val="16"/>
              </w:rPr>
              <w:t xml:space="preserve">2</w:t>
            </w:r>
          </w:p>
        </w:tc>
        <w:tc>
          <w:tcPr>
            <w:tcW w:type="dxa" w:w="45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jc w:val="left"/>
            </w:pPr>
            <w:r>
              <w:rPr>
                <w:rFonts w:ascii="Calibri" w:cs="Calibri" w:eastAsia="Calibri" w:hAnsi="Calibri"/>
                <w:b w:val="false"/>
                <w:bCs w:val="false"/>
                <w:color w:val="000000"/>
                <w:sz w:val="16"/>
                <w:szCs w:val="16"/>
              </w:rPr>
              <w:t xml:space="preserve">Visualisation, ACF/PACF interprétées, STL, aberrantes, ADF + KPSS</w:t>
            </w:r>
          </w:p>
        </w:tc>
        <w:tc>
          <w:tcPr>
            <w:tcW w:type="dxa" w:w="233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jc w:val="left"/>
            </w:pPr>
            <w:r>
              <w:rPr>
                <w:rFonts w:ascii="Calibri" w:cs="Calibri" w:eastAsia="Calibri" w:hAnsi="Calibri"/>
                <w:b w:val="false"/>
                <w:bCs w:val="false"/>
                <w:color w:val="000000"/>
                <w:sz w:val="16"/>
                <w:szCs w:val="16"/>
              </w:rPr>
              <w:t xml:space="preserve">Réalisé</w:t>
            </w:r>
          </w:p>
        </w:tc>
        <w:tc>
          <w:tcPr>
            <w:tcW w:type="dxa" w:w="16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jc w:val="left"/>
            </w:pPr>
            <w:r>
              <w:rPr>
                <w:rFonts w:ascii="Calibri" w:cs="Calibri" w:eastAsia="Calibri" w:hAnsi="Calibri"/>
                <w:b w:val="false"/>
                <w:bCs w:val="false"/>
                <w:color w:val="000000"/>
                <w:sz w:val="16"/>
                <w:szCs w:val="16"/>
              </w:rPr>
              <w:t xml:space="preserve">§3 ; python/01</w:t>
            </w:r>
          </w:p>
        </w:tc>
      </w:tr>
      <w:tr>
        <w:trPr>
          <w:cantSplit/>
        </w:trPr>
        <w:tc>
          <w:tcPr>
            <w:tcW w:type="dxa" w:w="12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jc w:val="left"/>
            </w:pPr>
            <w:r>
              <w:rPr>
                <w:rFonts w:ascii="Calibri" w:cs="Calibri" w:eastAsia="Calibri" w:hAnsi="Calibri"/>
                <w:b w:val="false"/>
                <w:bCs w:val="false"/>
                <w:color w:val="000000"/>
                <w:sz w:val="16"/>
                <w:szCs w:val="16"/>
              </w:rPr>
              <w:t xml:space="preserve">3.1</w:t>
            </w:r>
          </w:p>
        </w:tc>
        <w:tc>
          <w:tcPr>
            <w:tcW w:type="dxa" w:w="4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jc w:val="left"/>
            </w:pPr>
            <w:r>
              <w:rPr>
                <w:rFonts w:ascii="Calibri" w:cs="Calibri" w:eastAsia="Calibri" w:hAnsi="Calibri"/>
                <w:b w:val="false"/>
                <w:bCs w:val="false"/>
                <w:color w:val="000000"/>
                <w:sz w:val="16"/>
                <w:szCs w:val="16"/>
              </w:rPr>
              <w:t xml:space="preserve">ARIMA/SARIMA, manuel vs auto, Ljung-Box, Shapiro/JB, ARCH</w:t>
            </w:r>
          </w:p>
        </w:tc>
        <w:tc>
          <w:tcPr>
            <w:tcW w:type="dxa" w:w="233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jc w:val="left"/>
            </w:pPr>
            <w:r>
              <w:rPr>
                <w:rFonts w:ascii="Calibri" w:cs="Calibri" w:eastAsia="Calibri" w:hAnsi="Calibri"/>
                <w:b w:val="false"/>
                <w:bCs w:val="false"/>
                <w:color w:val="000000"/>
                <w:sz w:val="16"/>
                <w:szCs w:val="16"/>
              </w:rPr>
              <w:t xml:space="preserve">Réalisé (SARIMA = ARIMA, expliqué)</w:t>
            </w:r>
          </w:p>
        </w:tc>
        <w:tc>
          <w:tcPr>
            <w:tcW w:type="dxa" w:w="16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jc w:val="left"/>
            </w:pPr>
            <w:r>
              <w:rPr>
                <w:rFonts w:ascii="Calibri" w:cs="Calibri" w:eastAsia="Calibri" w:hAnsi="Calibri"/>
                <w:b w:val="false"/>
                <w:bCs w:val="false"/>
                <w:color w:val="000000"/>
                <w:sz w:val="16"/>
                <w:szCs w:val="16"/>
              </w:rPr>
              <w:t xml:space="preserve">§4.1 ; python/02, R</w:t>
            </w:r>
          </w:p>
        </w:tc>
      </w:tr>
      <w:tr>
        <w:trPr>
          <w:cantSplit/>
        </w:trPr>
        <w:tc>
          <w:tcPr>
            <w:tcW w:type="dxa" w:w="12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jc w:val="left"/>
            </w:pPr>
            <w:r>
              <w:rPr>
                <w:rFonts w:ascii="Calibri" w:cs="Calibri" w:eastAsia="Calibri" w:hAnsi="Calibri"/>
                <w:b w:val="false"/>
                <w:bCs w:val="false"/>
                <w:color w:val="000000"/>
                <w:sz w:val="16"/>
                <w:szCs w:val="16"/>
              </w:rPr>
              <w:t xml:space="preserve">3.2</w:t>
            </w:r>
          </w:p>
        </w:tc>
        <w:tc>
          <w:tcPr>
            <w:tcW w:type="dxa" w:w="45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jc w:val="left"/>
            </w:pPr>
            <w:r>
              <w:rPr>
                <w:rFonts w:ascii="Calibri" w:cs="Calibri" w:eastAsia="Calibri" w:hAnsi="Calibri"/>
                <w:b w:val="false"/>
                <w:bCs w:val="false"/>
                <w:color w:val="000000"/>
                <w:sz w:val="16"/>
                <w:szCs w:val="16"/>
              </w:rPr>
              <w:t xml:space="preserve">VAR (AIC/BIC), Granger, Engle-Granger/Johansen, VECM et terme de correction</w:t>
            </w:r>
          </w:p>
        </w:tc>
        <w:tc>
          <w:tcPr>
            <w:tcW w:type="dxa" w:w="233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jc w:val="left"/>
            </w:pPr>
            <w:r>
              <w:rPr>
                <w:rFonts w:ascii="Calibri" w:cs="Calibri" w:eastAsia="Calibri" w:hAnsi="Calibri"/>
                <w:b w:val="false"/>
                <w:bCs w:val="false"/>
                <w:color w:val="000000"/>
                <w:sz w:val="16"/>
                <w:szCs w:val="16"/>
              </w:rPr>
              <w:t xml:space="preserve">Réalisé (rang 1 retenu et justifié)</w:t>
            </w:r>
          </w:p>
        </w:tc>
        <w:tc>
          <w:tcPr>
            <w:tcW w:type="dxa" w:w="16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jc w:val="left"/>
            </w:pPr>
            <w:r>
              <w:rPr>
                <w:rFonts w:ascii="Calibri" w:cs="Calibri" w:eastAsia="Calibri" w:hAnsi="Calibri"/>
                <w:b w:val="false"/>
                <w:bCs w:val="false"/>
                <w:color w:val="000000"/>
                <w:sz w:val="16"/>
                <w:szCs w:val="16"/>
              </w:rPr>
              <w:t xml:space="preserve">§4.2-4.3 ; python/03, R</w:t>
            </w:r>
          </w:p>
        </w:tc>
      </w:tr>
      <w:tr>
        <w:trPr>
          <w:cantSplit/>
        </w:trPr>
        <w:tc>
          <w:tcPr>
            <w:tcW w:type="dxa" w:w="12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jc w:val="left"/>
            </w:pPr>
            <w:r>
              <w:rPr>
                <w:rFonts w:ascii="Calibri" w:cs="Calibri" w:eastAsia="Calibri" w:hAnsi="Calibri"/>
                <w:b w:val="false"/>
                <w:bCs w:val="false"/>
                <w:color w:val="000000"/>
                <w:sz w:val="16"/>
                <w:szCs w:val="16"/>
              </w:rPr>
              <w:t xml:space="preserve">3.3</w:t>
            </w:r>
          </w:p>
        </w:tc>
        <w:tc>
          <w:tcPr>
            <w:tcW w:type="dxa" w:w="4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jc w:val="left"/>
            </w:pPr>
            <w:r>
              <w:rPr>
                <w:rFonts w:ascii="Calibri" w:cs="Calibri" w:eastAsia="Calibri" w:hAnsi="Calibri"/>
                <w:b w:val="false"/>
                <w:bCs w:val="false"/>
                <w:color w:val="000000"/>
                <w:sz w:val="16"/>
                <w:szCs w:val="16"/>
              </w:rPr>
              <w:t xml:space="preserve">ARCH-LM, GARCH(1,1) et ordres supérieurs, résidus standardisés, volatilité vs événements</w:t>
            </w:r>
          </w:p>
        </w:tc>
        <w:tc>
          <w:tcPr>
            <w:tcW w:type="dxa" w:w="233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jc w:val="left"/>
            </w:pPr>
            <w:r>
              <w:rPr>
                <w:rFonts w:ascii="Calibri" w:cs="Calibri" w:eastAsia="Calibri" w:hAnsi="Calibri"/>
                <w:b w:val="false"/>
                <w:bCs w:val="false"/>
                <w:color w:val="000000"/>
                <w:sz w:val="16"/>
                <w:szCs w:val="16"/>
              </w:rPr>
              <w:t xml:space="preserve">Réalisé</w:t>
            </w:r>
          </w:p>
        </w:tc>
        <w:tc>
          <w:tcPr>
            <w:tcW w:type="dxa" w:w="16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jc w:val="left"/>
            </w:pPr>
            <w:r>
              <w:rPr>
                <w:rFonts w:ascii="Calibri" w:cs="Calibri" w:eastAsia="Calibri" w:hAnsi="Calibri"/>
                <w:b w:val="false"/>
                <w:bCs w:val="false"/>
                <w:color w:val="000000"/>
                <w:sz w:val="16"/>
                <w:szCs w:val="16"/>
              </w:rPr>
              <w:t xml:space="preserve">§4.4 ; python/04, R</w:t>
            </w:r>
          </w:p>
        </w:tc>
      </w:tr>
      <w:tr>
        <w:trPr>
          <w:cantSplit/>
        </w:trPr>
        <w:tc>
          <w:tcPr>
            <w:tcW w:type="dxa" w:w="12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jc w:val="left"/>
            </w:pPr>
            <w:r>
              <w:rPr>
                <w:rFonts w:ascii="Calibri" w:cs="Calibri" w:eastAsia="Calibri" w:hAnsi="Calibri"/>
                <w:b w:val="false"/>
                <w:bCs w:val="false"/>
                <w:color w:val="000000"/>
                <w:sz w:val="16"/>
                <w:szCs w:val="16"/>
              </w:rPr>
              <w:t xml:space="preserve">4.1</w:t>
            </w:r>
          </w:p>
        </w:tc>
        <w:tc>
          <w:tcPr>
            <w:tcW w:type="dxa" w:w="45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jc w:val="left"/>
            </w:pPr>
            <w:r>
              <w:rPr>
                <w:rFonts w:ascii="Calibri" w:cs="Calibri" w:eastAsia="Calibri" w:hAnsi="Calibri"/>
                <w:b w:val="false"/>
                <w:bCs w:val="false"/>
                <w:color w:val="000000"/>
                <w:sz w:val="16"/>
                <w:szCs w:val="16"/>
              </w:rPr>
              <w:t xml:space="preserve">LSTM et GRU, fenêtres, hyperparamètres, courbes de perte, walk-forward</w:t>
            </w:r>
          </w:p>
        </w:tc>
        <w:tc>
          <w:tcPr>
            <w:tcW w:type="dxa" w:w="233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jc w:val="left"/>
            </w:pPr>
            <w:r>
              <w:rPr>
                <w:rFonts w:ascii="Calibri" w:cs="Calibri" w:eastAsia="Calibri" w:hAnsi="Calibri"/>
                <w:b w:val="false"/>
                <w:bCs w:val="false"/>
                <w:color w:val="000000"/>
                <w:sz w:val="16"/>
                <w:szCs w:val="16"/>
              </w:rPr>
              <w:t xml:space="preserve">Réalisé (Python seul)</w:t>
            </w:r>
          </w:p>
        </w:tc>
        <w:tc>
          <w:tcPr>
            <w:tcW w:type="dxa" w:w="16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jc w:val="left"/>
            </w:pPr>
            <w:r>
              <w:rPr>
                <w:rFonts w:ascii="Calibri" w:cs="Calibri" w:eastAsia="Calibri" w:hAnsi="Calibri"/>
                <w:b w:val="false"/>
                <w:bCs w:val="false"/>
                <w:color w:val="000000"/>
                <w:sz w:val="16"/>
                <w:szCs w:val="16"/>
              </w:rPr>
              <w:t xml:space="preserve">§5 ; python/05</w:t>
            </w:r>
          </w:p>
        </w:tc>
      </w:tr>
      <w:tr>
        <w:trPr>
          <w:cantSplit/>
        </w:trPr>
        <w:tc>
          <w:tcPr>
            <w:tcW w:type="dxa" w:w="12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jc w:val="left"/>
            </w:pPr>
            <w:r>
              <w:rPr>
                <w:rFonts w:ascii="Calibri" w:cs="Calibri" w:eastAsia="Calibri" w:hAnsi="Calibri"/>
                <w:b w:val="false"/>
                <w:bCs w:val="false"/>
                <w:color w:val="000000"/>
                <w:sz w:val="16"/>
                <w:szCs w:val="16"/>
              </w:rPr>
              <w:t xml:space="preserve">4.2 / 4.3 / 7</w:t>
            </w:r>
          </w:p>
        </w:tc>
        <w:tc>
          <w:tcPr>
            <w:tcW w:type="dxa" w:w="4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jc w:val="left"/>
            </w:pPr>
            <w:r>
              <w:rPr>
                <w:rFonts w:ascii="Calibri" w:cs="Calibri" w:eastAsia="Calibri" w:hAnsi="Calibri"/>
                <w:b w:val="false"/>
                <w:bCs w:val="false"/>
                <w:color w:val="000000"/>
                <w:sz w:val="16"/>
                <w:szCs w:val="16"/>
              </w:rPr>
              <w:t xml:space="preserve">Hybride, Prophet/TFT/N-BEATS, extensions bonus</w:t>
            </w:r>
          </w:p>
        </w:tc>
        <w:tc>
          <w:tcPr>
            <w:tcW w:type="dxa" w:w="233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jc w:val="left"/>
            </w:pPr>
            <w:r>
              <w:rPr>
                <w:rFonts w:ascii="Calibri" w:cs="Calibri" w:eastAsia="Calibri" w:hAnsi="Calibri"/>
                <w:b w:val="false"/>
                <w:bCs w:val="false"/>
                <w:color w:val="000000"/>
                <w:sz w:val="16"/>
                <w:szCs w:val="16"/>
              </w:rPr>
              <w:t xml:space="preserve">Non réalisé</w:t>
            </w:r>
          </w:p>
        </w:tc>
        <w:tc>
          <w:tcPr>
            <w:tcW w:type="dxa" w:w="16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jc w:val="left"/>
            </w:pPr>
            <w:r>
              <w:rPr>
                <w:rFonts w:ascii="Calibri" w:cs="Calibri" w:eastAsia="Calibri" w:hAnsi="Calibri"/>
                <w:b w:val="false"/>
                <w:bCs w:val="false"/>
                <w:color w:val="000000"/>
                <w:sz w:val="16"/>
                <w:szCs w:val="16"/>
              </w:rPr>
              <w:t xml:space="preserve">§9.1</w:t>
            </w:r>
          </w:p>
        </w:tc>
      </w:tr>
      <w:tr>
        <w:trPr>
          <w:cantSplit/>
        </w:trPr>
        <w:tc>
          <w:tcPr>
            <w:tcW w:type="dxa" w:w="12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jc w:val="left"/>
            </w:pPr>
            <w:r>
              <w:rPr>
                <w:rFonts w:ascii="Calibri" w:cs="Calibri" w:eastAsia="Calibri" w:hAnsi="Calibri"/>
                <w:b w:val="false"/>
                <w:bCs w:val="false"/>
                <w:color w:val="000000"/>
                <w:sz w:val="16"/>
                <w:szCs w:val="16"/>
              </w:rPr>
              <w:t xml:space="preserve">5</w:t>
            </w:r>
          </w:p>
        </w:tc>
        <w:tc>
          <w:tcPr>
            <w:tcW w:type="dxa" w:w="45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jc w:val="left"/>
            </w:pPr>
            <w:r>
              <w:rPr>
                <w:rFonts w:ascii="Calibri" w:cs="Calibri" w:eastAsia="Calibri" w:hAnsi="Calibri"/>
                <w:b w:val="false"/>
                <w:bCs w:val="false"/>
                <w:color w:val="000000"/>
                <w:sz w:val="16"/>
                <w:szCs w:val="16"/>
              </w:rPr>
              <w:t xml:space="preserve">LLM : hypothèses, vulgarisation, recommandations + limites, comparaison humain/LLM</w:t>
            </w:r>
          </w:p>
        </w:tc>
        <w:tc>
          <w:tcPr>
            <w:tcW w:type="dxa" w:w="233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jc w:val="left"/>
            </w:pPr>
            <w:r>
              <w:rPr>
                <w:rFonts w:ascii="Calibri" w:cs="Calibri" w:eastAsia="Calibri" w:hAnsi="Calibri"/>
                <w:b w:val="false"/>
                <w:bCs w:val="false"/>
                <w:color w:val="000000"/>
                <w:sz w:val="16"/>
                <w:szCs w:val="16"/>
              </w:rPr>
              <w:t xml:space="preserve">Réalisé</w:t>
            </w:r>
          </w:p>
        </w:tc>
        <w:tc>
          <w:tcPr>
            <w:tcW w:type="dxa" w:w="16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jc w:val="left"/>
            </w:pPr>
            <w:r>
              <w:rPr>
                <w:rFonts w:ascii="Calibri" w:cs="Calibri" w:eastAsia="Calibri" w:hAnsi="Calibri"/>
                <w:b w:val="false"/>
                <w:bCs w:val="false"/>
                <w:color w:val="000000"/>
                <w:sz w:val="16"/>
                <w:szCs w:val="16"/>
              </w:rPr>
              <w:t xml:space="preserve">§8 ; annexe LLM</w:t>
            </w:r>
          </w:p>
        </w:tc>
      </w:tr>
      <w:tr>
        <w:trPr>
          <w:cantSplit/>
        </w:trPr>
        <w:tc>
          <w:tcPr>
            <w:tcW w:type="dxa" w:w="12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jc w:val="left"/>
            </w:pPr>
            <w:r>
              <w:rPr>
                <w:rFonts w:ascii="Calibri" w:cs="Calibri" w:eastAsia="Calibri" w:hAnsi="Calibri"/>
                <w:b w:val="false"/>
                <w:bCs w:val="false"/>
                <w:color w:val="000000"/>
                <w:sz w:val="16"/>
                <w:szCs w:val="16"/>
              </w:rPr>
              <w:t xml:space="preserve">6</w:t>
            </w:r>
          </w:p>
        </w:tc>
        <w:tc>
          <w:tcPr>
            <w:tcW w:type="dxa" w:w="4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jc w:val="left"/>
            </w:pPr>
            <w:r>
              <w:rPr>
                <w:rFonts w:ascii="Calibri" w:cs="Calibri" w:eastAsia="Calibri" w:hAnsi="Calibri"/>
                <w:b w:val="false"/>
                <w:bCs w:val="false"/>
                <w:color w:val="000000"/>
                <w:sz w:val="16"/>
                <w:szCs w:val="16"/>
              </w:rPr>
              <w:t xml:space="preserve">Prévisions h = 10, MSE/RMSE/MAE/MAPE, tableau unique, Diebold-Mariano, conclusion</w:t>
            </w:r>
          </w:p>
        </w:tc>
        <w:tc>
          <w:tcPr>
            <w:tcW w:type="dxa" w:w="233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jc w:val="left"/>
            </w:pPr>
            <w:r>
              <w:rPr>
                <w:rFonts w:ascii="Calibri" w:cs="Calibri" w:eastAsia="Calibri" w:hAnsi="Calibri"/>
                <w:b w:val="false"/>
                <w:bCs w:val="false"/>
                <w:color w:val="000000"/>
                <w:sz w:val="16"/>
                <w:szCs w:val="16"/>
              </w:rPr>
              <w:t xml:space="preserve">Réalisé</w:t>
            </w:r>
          </w:p>
        </w:tc>
        <w:tc>
          <w:tcPr>
            <w:tcW w:type="dxa" w:w="16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jc w:val="left"/>
            </w:pPr>
            <w:r>
              <w:rPr>
                <w:rFonts w:ascii="Calibri" w:cs="Calibri" w:eastAsia="Calibri" w:hAnsi="Calibri"/>
                <w:b w:val="false"/>
                <w:bCs w:val="false"/>
                <w:color w:val="000000"/>
                <w:sz w:val="16"/>
                <w:szCs w:val="16"/>
              </w:rPr>
              <w:t xml:space="preserve">§6 ; python/06</w:t>
            </w:r>
          </w:p>
        </w:tc>
      </w:tr>
      <w:tr>
        <w:trPr>
          <w:cantSplit/>
        </w:trPr>
        <w:tc>
          <w:tcPr>
            <w:tcW w:type="dxa" w:w="12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jc w:val="left"/>
            </w:pPr>
            <w:r>
              <w:rPr>
                <w:rFonts w:ascii="Calibri" w:cs="Calibri" w:eastAsia="Calibri" w:hAnsi="Calibri"/>
                <w:b w:val="false"/>
                <w:bCs w:val="false"/>
                <w:color w:val="000000"/>
                <w:sz w:val="16"/>
                <w:szCs w:val="16"/>
              </w:rPr>
              <w:t xml:space="preserve">8</w:t>
            </w:r>
          </w:p>
        </w:tc>
        <w:tc>
          <w:tcPr>
            <w:tcW w:type="dxa" w:w="45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jc w:val="left"/>
            </w:pPr>
            <w:r>
              <w:rPr>
                <w:rFonts w:ascii="Calibri" w:cs="Calibri" w:eastAsia="Calibri" w:hAnsi="Calibri"/>
                <w:b w:val="false"/>
                <w:bCs w:val="false"/>
                <w:color w:val="000000"/>
                <w:sz w:val="16"/>
                <w:szCs w:val="16"/>
              </w:rPr>
              <w:t xml:space="preserve">Code R + Python (socle classique), notebook, rapport, discussion critique</w:t>
            </w:r>
          </w:p>
        </w:tc>
        <w:tc>
          <w:tcPr>
            <w:tcW w:type="dxa" w:w="233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jc w:val="left"/>
            </w:pPr>
            <w:r>
              <w:rPr>
                <w:rFonts w:ascii="Calibri" w:cs="Calibri" w:eastAsia="Calibri" w:hAnsi="Calibri"/>
                <w:b w:val="false"/>
                <w:bCs w:val="false"/>
                <w:color w:val="000000"/>
                <w:sz w:val="16"/>
                <w:szCs w:val="16"/>
              </w:rPr>
              <w:t xml:space="preserve">Réalisé</w:t>
            </w:r>
          </w:p>
        </w:tc>
        <w:tc>
          <w:tcPr>
            <w:tcW w:type="dxa" w:w="16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center"/>
          </w:tcPr>
          <w:p>
            <w:pPr>
              <w:jc w:val="left"/>
            </w:pPr>
            <w:r>
              <w:rPr>
                <w:rFonts w:ascii="Calibri" w:cs="Calibri" w:eastAsia="Calibri" w:hAnsi="Calibri"/>
                <w:b w:val="false"/>
                <w:bCs w:val="false"/>
                <w:color w:val="000000"/>
                <w:sz w:val="16"/>
                <w:szCs w:val="16"/>
              </w:rPr>
              <w:t xml:space="preserve">ce rapport ; notebook/</w:t>
            </w:r>
          </w:p>
        </w:tc>
      </w:tr>
    </w:tbl>
    <w:p>
      <w:pPr>
        <w:pStyle w:val="Heading1"/>
        <w:keepNext/>
        <w:spacing w:after="160" w:before="360"/>
      </w:pPr>
      <w:r>
        <w:rPr>
          <w:rFonts w:ascii="Calibri" w:cs="Calibri" w:eastAsia="Calibri" w:hAnsi="Calibri"/>
          <w:b/>
          <w:bCs/>
          <w:color w:val="1F3864"/>
          <w:sz w:val="32"/>
          <w:szCs w:val="32"/>
        </w:rPr>
        <w:t xml:space="preserve">Annexe B — Reproductibilité</w:t>
      </w:r>
    </w:p>
    <w:p>
      <w:pPr>
        <w:pStyle w:val="ListParagraph"/>
        <w:numPr>
          <w:ilvl w:val="0"/>
          <w:numId w:val="2"/>
        </w:numPr>
        <w:spacing w:after="60" w:line="264"/>
      </w:pPr>
      <w:r>
        <w:rPr>
          <w:rFonts w:ascii="Calibri" w:cs="Calibri" w:eastAsia="Calibri" w:hAnsi="Calibri"/>
          <w:b/>
          <w:bCs/>
          <w:sz w:val="22"/>
          <w:szCs w:val="22"/>
        </w:rPr>
        <w:t xml:space="preserve">Graine :</w:t>
      </w:r>
      <w:r>
        <w:rPr>
          <w:rFonts w:ascii="Calibri" w:cs="Calibri" w:eastAsia="Calibri" w:hAnsi="Calibri"/>
          <w:sz w:val="22"/>
          <w:szCs w:val="22"/>
        </w:rPr>
        <w:t xml:space="preserve"> 42 (Python, NumPy, TensorFlow ; set.seed(42) en R).</w:t>
      </w:r>
    </w:p>
    <w:p>
      <w:pPr>
        <w:pStyle w:val="ListParagraph"/>
        <w:numPr>
          <w:ilvl w:val="0"/>
          <w:numId w:val="2"/>
        </w:numPr>
        <w:spacing w:after="60" w:line="264"/>
      </w:pPr>
      <w:r>
        <w:rPr>
          <w:rFonts w:ascii="Calibri" w:cs="Calibri" w:eastAsia="Calibri" w:hAnsi="Calibri"/>
          <w:b/>
          <w:bCs/>
          <w:sz w:val="22"/>
          <w:szCs w:val="22"/>
        </w:rPr>
        <w:t xml:space="preserve">Données :</w:t>
      </w:r>
      <w:r>
        <w:rPr>
          <w:rFonts w:ascii="Calibri" w:cs="Calibri" w:eastAsia="Calibri" w:hAnsi="Calibri"/>
          <w:sz w:val="22"/>
          <w:szCs w:val="22"/>
        </w:rPr>
        <w:t xml:space="preserve"> téléchargées par yfinance puis mises en cache dans data/KO.csv et data/PEP.csv ; ces deux fichiers doivent figurer dans l'archive remise pour exécuter hors ligne.</w:t>
      </w:r>
    </w:p>
    <w:p>
      <w:pPr>
        <w:pStyle w:val="ListParagraph"/>
        <w:numPr>
          <w:ilvl w:val="0"/>
          <w:numId w:val="2"/>
        </w:numPr>
        <w:spacing w:after="60" w:line="264"/>
      </w:pPr>
      <w:r>
        <w:rPr>
          <w:rFonts w:ascii="Calibri" w:cs="Calibri" w:eastAsia="Calibri" w:hAnsi="Calibri"/>
          <w:b/>
          <w:bCs/>
          <w:sz w:val="22"/>
          <w:szCs w:val="22"/>
        </w:rPr>
        <w:t xml:space="preserve">Exécution Python :</w:t>
      </w:r>
      <w:r>
        <w:rPr>
          <w:rFonts w:ascii="Calibri" w:cs="Calibri" w:eastAsia="Calibri" w:hAnsi="Calibri"/>
          <w:sz w:val="22"/>
          <w:szCs w:val="22"/>
        </w:rPr>
        <w:t xml:space="preserve"> pip install -r requirements.txt puis python python/run_all.py ; versions affichées en tête du notebook (print_versions).</w:t>
      </w:r>
    </w:p>
    <w:p>
      <w:pPr>
        <w:pStyle w:val="ListParagraph"/>
        <w:numPr>
          <w:ilvl w:val="0"/>
          <w:numId w:val="2"/>
        </w:numPr>
        <w:spacing w:after="60" w:line="264"/>
      </w:pPr>
      <w:r>
        <w:rPr>
          <w:rFonts w:ascii="Calibri" w:cs="Calibri" w:eastAsia="Calibri" w:hAnsi="Calibri"/>
          <w:b/>
          <w:bCs/>
          <w:sz w:val="22"/>
          <w:szCs w:val="22"/>
        </w:rPr>
        <w:t xml:space="preserve">Exécution R :</w:t>
      </w:r>
      <w:r>
        <w:rPr>
          <w:rFonts w:ascii="Calibri" w:cs="Calibri" w:eastAsia="Calibri" w:hAnsi="Calibri"/>
          <w:sz w:val="22"/>
          <w:szCs w:val="22"/>
        </w:rPr>
        <w:t xml:space="preserve"> Rscript R/classique.R &gt; results_R/sortie_R.txt (packages forecast, tseries, urca, vars, rugarch ; sessionInfo() en fin de script).</w:t>
      </w:r>
    </w:p>
    <w:p>
      <w:pPr>
        <w:pStyle w:val="ListParagraph"/>
        <w:numPr>
          <w:ilvl w:val="0"/>
          <w:numId w:val="2"/>
        </w:numPr>
        <w:spacing w:after="60" w:line="264"/>
      </w:pPr>
      <w:r>
        <w:rPr>
          <w:rFonts w:ascii="Calibri" w:cs="Calibri" w:eastAsia="Calibri" w:hAnsi="Calibri"/>
          <w:b/>
          <w:bCs/>
          <w:sz w:val="22"/>
          <w:szCs w:val="22"/>
        </w:rPr>
        <w:t xml:space="preserve">Application :</w:t>
      </w:r>
      <w:r>
        <w:rPr>
          <w:rFonts w:ascii="Calibri" w:cs="Calibri" w:eastAsia="Calibri" w:hAnsi="Calibri"/>
          <w:sz w:val="22"/>
          <w:szCs w:val="22"/>
        </w:rPr>
        <w:t xml:space="preserve"> streamlit run app/streamlit_app.py (résultats, comparaison R/Python et section LLM en six étapes).</w:t>
      </w:r>
    </w:p>
    <w:sectPr>
      <w:headerReference w:type="default" r:id="rId7"/>
      <w:headerReference w:type="first" r:id="rId8"/>
      <w:footerReference w:type="default" r:id="rId9"/>
      <w:footerReference w:type="first" r:id="rId10"/>
      <w:pgSz w:w="11906" w:h="16838" w:orient="portrait"/>
      <w:pgMar w:top="1134" w:right="1134" w:bottom="1134"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t xml:space="preserve">Page </w:t>
    </w:r>
    <w:r>
      <w:rPr>
        <w:rFonts w:ascii="Calibri" w:cs="Calibri" w:eastAsia="Calibri" w:hAnsi="Calibri"/>
        <w:color w:val="7F7F7F"/>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rFonts w:ascii="Calibri" w:cs="Calibri" w:eastAsia="Calibri" w:hAnsi="Calibri"/>
        <w:color w:val="7F7F7F"/>
        <w:sz w:val="18"/>
        <w:szCs w:val="18"/>
      </w:rPr>
      <w:t xml:space="preserve">Mini-projet Séries Temporelles — KO &amp; PEP</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5787842779d23019f617712581d400a716f84fc2.png"/><Relationship Id="rId12" Type="http://schemas.openxmlformats.org/officeDocument/2006/relationships/image" Target="media/e91381b57b34f71f2fb2dcb993b467d2616ebf37.png"/><Relationship Id="rId13" Type="http://schemas.openxmlformats.org/officeDocument/2006/relationships/image" Target="media/88bf1321524c110c3c491c5b0bd3df36fa481252.png"/><Relationship Id="rId14" Type="http://schemas.openxmlformats.org/officeDocument/2006/relationships/image" Target="media/4b67ed26d7c963ea5fa3aef35647b149189328cd.png"/><Relationship Id="rId15" Type="http://schemas.openxmlformats.org/officeDocument/2006/relationships/image" Target="media/2013fec276157c1608b6ab657de8903e60836c33.png"/><Relationship Id="rId16" Type="http://schemas.openxmlformats.org/officeDocument/2006/relationships/image" Target="media/8184c1f2ef70a55324401454ef534b91d13c148e.png"/><Relationship Id="rId17" Type="http://schemas.openxmlformats.org/officeDocument/2006/relationships/image" Target="media/cdfba0381d7565554b859bc4b4824761f0a5fe20.png"/><Relationship Id="rId18" Type="http://schemas.openxmlformats.org/officeDocument/2006/relationships/image" Target="media/a484cf6768b792122509a56ae4475505ec75bbde.png"/><Relationship Id="rId19" Type="http://schemas.openxmlformats.org/officeDocument/2006/relationships/image" Target="media/cd0fbaa0f4e8d4ee9e2368a43182a14259e42177.png"/><Relationship Id="rId20" Type="http://schemas.openxmlformats.org/officeDocument/2006/relationships/image" Target="media/62d18394c230cb9899af289a051e8a5eec800aaa.png"/><Relationship Id="rId21" Type="http://schemas.openxmlformats.org/officeDocument/2006/relationships/image" Target="media/d7e422065bce2e9f5d0f6ad67374f370c3920fdd.png"/><Relationship Id="rId22" Type="http://schemas.openxmlformats.org/officeDocument/2006/relationships/image" Target="media/5d2f863e519925aa40c52aa72a3fc98c23e9f074.png"/><Relationship Id="rId23" Type="http://schemas.openxmlformats.org/officeDocument/2006/relationships/image" Target="media/0670e658fc3f81177b4804a40e58025801cc52d0.png"/><Relationship Id="rId24" Type="http://schemas.openxmlformats.org/officeDocument/2006/relationships/image" Target="media/0013cda932d92d0a68170eaec467403a7569adcd.png"/><Relationship Id="rId25" Type="http://schemas.openxmlformats.org/officeDocument/2006/relationships/image" Target="media/a7bbe82fd712167f548fb04c4b82aac5770583af.png"/><Relationship Id="rId26" Type="http://schemas.openxmlformats.org/officeDocument/2006/relationships/image" Target="media/8fc173a5a6ced4084c7aed5ac3c3220f4def7d30.png"/><Relationship Id="rId2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Mini-projet séries temporelles — KO &amp; PEP</dc:title>
  <dc:creator>Projet séries temporelles — TEK-UP</dc:creator>
  <cp:lastModifiedBy>Un-named</cp:lastModifiedBy>
  <cp:revision>1</cp:revision>
  <dcterms:created xsi:type="dcterms:W3CDTF">2026-10-11T00:42:58.736Z</dcterms:created>
  <dcterms:modified xsi:type="dcterms:W3CDTF">2026-10-11T00:42:58.737Z</dcterms:modified>
</cp:coreProperties>
</file>

<file path=docProps/custom.xml><?xml version="1.0" encoding="utf-8"?>
<Properties xmlns="http://schemas.openxmlformats.org/officeDocument/2006/custom-properties" xmlns:vt="http://schemas.openxmlformats.org/officeDocument/2006/docPropsVTypes"/>
</file>