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Dolphin Strategic Acquisition Proposal</w:t>
      </w:r>
    </w:p>
    <w:p>
      <w:pPr>
        <w:jc w:val="center"/>
      </w:pPr>
      <w:r>
        <w:rPr>
          <w:i/>
          <w:sz w:val="20"/>
        </w:rPr>
        <w:t>Proposed Acquisition of Selected Intel Corporation Assets</w:t>
      </w:r>
    </w:p>
    <w:p>
      <w:pPr>
        <w:jc w:val="center"/>
      </w:pPr>
      <w:r>
        <w:rPr>
          <w:b/>
          <w:sz w:val="18"/>
        </w:rPr>
        <w:t>FICTIONAL POC DOCUMENT - NOT A REAL OFFER OR LEGAL DOCUMENT</w:t>
      </w:r>
    </w:p>
    <w:p>
      <w:pPr>
        <w:pStyle w:val="Heading1"/>
      </w:pPr>
      <w:r>
        <w:t>1. Executive Summary</w:t>
      </w:r>
    </w:p>
    <w:p>
      <w:r>
        <w:t>Dolphin Holdings Ltd. ("Dolphin") is evaluating a proposed acquisition of selected Intel Corporation assets related to non-core software, edge computing, and selected data-center optimization tools. This fictional transaction is intended to help Dolphin accelerate its AI infrastructure strategy while avoiding the complexity of acquiring Intel Corporation as a whole.</w:t>
      </w:r>
    </w:p>
    <w:p>
      <w:r>
        <w:t>The contemplated deal includes an upfront cash consideration of $2.4 billion, potential earn-out payments of up to $600 million, and a transition services agreement under which Intel would support the transferred business for 18 months after closing.</w:t>
      </w:r>
    </w:p>
    <w:p>
      <w:pPr>
        <w:pStyle w:val="Heading1"/>
      </w:pPr>
      <w:r>
        <w:t>2. Proposed Transaction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Draft proposal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Acquirer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Dolphin Holdings Ltd.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Target / Seller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Intel Corporation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Assets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Selected edge software tools, customer contracts, patents, engineering teams, and internal optimization platforms.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Excluded assets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Core semiconductor fabs, x86 CPU roadmap, foundry manufacturing assets, government-funded programs, and regulated defense programs.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Purchase price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$2.4 billion cash at closing, plus up to $600 million earn-out.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Planned workforce action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Dolphin expects to retain approximately 70% of the transferring employees and evaluate duplicative roles after closing.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Planned asset sales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Dolphin may divest low-margin legacy support contracts within 12 months post-close.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Timing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Target signing in Q3 2026, closing within 6-9 months subject to approvals.</w:t>
            </w:r>
          </w:p>
        </w:tc>
      </w:tr>
    </w:tbl>
    <w:p/>
    <w:p>
      <w:pPr>
        <w:pStyle w:val="Heading1"/>
      </w:pPr>
      <w:r>
        <w:t>3. Strategic Rationale</w:t>
      </w:r>
    </w:p>
    <w:p>
      <w:pPr>
        <w:pStyle w:val="ListBullet"/>
      </w:pPr>
      <w:r>
        <w:t>Accelerate Dolphin's AI infrastructure product roadmap by acquiring software and engineering talent rather than building organically.</w:t>
      </w:r>
    </w:p>
    <w:p>
      <w:pPr>
        <w:pStyle w:val="ListBullet"/>
      </w:pPr>
      <w:r>
        <w:t>Obtain enterprise customer relationships in cloud, telecom, and industrial edge-computing markets.</w:t>
      </w:r>
    </w:p>
    <w:p>
      <w:pPr>
        <w:pStyle w:val="ListBullet"/>
      </w:pPr>
      <w:r>
        <w:t>Create cost synergies by rationalizing duplicative support, finance, HR, and product management functions.</w:t>
      </w:r>
    </w:p>
    <w:p>
      <w:pPr>
        <w:pStyle w:val="ListBullet"/>
      </w:pPr>
      <w:r>
        <w:t>Potentially monetize non-core contracts and patents through licensing or asset sales.</w:t>
      </w:r>
    </w:p>
    <w:p>
      <w:pPr>
        <w:pStyle w:val="Heading1"/>
      </w:pPr>
      <w:r>
        <w:t>4. Initial Risk Flags for AI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Risk area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Issue to analyze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Employee retention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The proposal references expected layoffs and role rationalization but does not include a detailed employee-transfer plan.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Regulatory approvals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Assets may include technology used by customers in regulated sectors. CFIUS, antitrust, export-control, or government-contract restrictions may apply.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Customer consent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Several customer contracts may require consent before assignment to Dolphin.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IP ownership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Some software modules may rely on Intel-owned background IP that is not clearly transferred.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Public narrative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A transaction involving Intel assets could attract scrutiny if public news indicates restructuring, government support, or strategic divestitures.</w:t>
            </w:r>
          </w:p>
        </w:tc>
      </w:tr>
    </w:tbl>
    <w:p/>
    <w:p>
      <w:pPr>
        <w:pStyle w:val="Heading1"/>
      </w:pPr>
      <w:r>
        <w:t>5. Management Questions</w:t>
      </w:r>
    </w:p>
    <w:p>
      <w:pPr>
        <w:pStyle w:val="ListNumber"/>
      </w:pPr>
      <w:r>
        <w:t>Does the public record show Intel is under pressure to sell assets or restructure?</w:t>
      </w:r>
    </w:p>
    <w:p>
      <w:pPr>
        <w:pStyle w:val="ListNumber"/>
      </w:pPr>
      <w:r>
        <w:t>Would workforce reductions create reputational risk for Dolphin?</w:t>
      </w:r>
    </w:p>
    <w:p>
      <w:pPr>
        <w:pStyle w:val="ListNumber"/>
      </w:pPr>
      <w:r>
        <w:t>Are there public reports about Intel layoffs, asset sales, government involvement, or foundry strategy that should affect diligence?</w:t>
      </w:r>
    </w:p>
    <w:p>
      <w:pPr>
        <w:pStyle w:val="ListNumber"/>
      </w:pPr>
      <w:r>
        <w:t>Which assets should be excluded to avoid regulatory or political risk?</w:t>
      </w:r>
    </w:p>
    <w:p>
      <w:pPr>
        <w:pStyle w:val="ListNumber"/>
      </w:pPr>
      <w:r>
        <w:t>What commitments should Dolphin require around employee retention, customer consents, and IP separation?</w:t>
      </w:r>
    </w:p>
    <w:p>
      <w:r>
        <w:t>End of fictional POC document.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