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Dolphin Board Briefing Note</w:t>
      </w:r>
    </w:p>
    <w:p>
      <w:pPr>
        <w:jc w:val="center"/>
      </w:pPr>
      <w:r>
        <w:rPr>
          <w:i/>
          <w:sz w:val="20"/>
        </w:rPr>
        <w:t>Decision memo for fictional acquisition POC</w:t>
      </w:r>
    </w:p>
    <w:p>
      <w:pPr>
        <w:jc w:val="center"/>
      </w:pPr>
      <w:r>
        <w:rPr>
          <w:b/>
          <w:sz w:val="18"/>
        </w:rPr>
        <w:t>FICTIONAL POC DOCUMENT - NOT A REAL OFFER OR LEGAL DOCUMENT</w:t>
      </w:r>
    </w:p>
    <w:p>
      <w:pPr>
        <w:pStyle w:val="Heading1"/>
      </w:pPr>
      <w:r>
        <w:t>Purpose</w:t>
      </w:r>
    </w:p>
    <w:p>
      <w:r>
        <w:t>This note summarizes why Dolphin management is considering a fictional acquisition of selected Intel assets and identifies matters that should be validated through AI-assisted private-document analysis and public research.</w:t>
      </w:r>
    </w:p>
    <w:p>
      <w:pPr>
        <w:pStyle w:val="Heading1"/>
      </w:pPr>
      <w:r>
        <w:t>Management View</w:t>
      </w:r>
    </w:p>
    <w:p>
      <w:r>
        <w:t>Management believes the transaction could shorten Dolphin's AI infrastructure roadmap by 18-24 months. However, the transaction may create reputational, regulatory, and operational risk because the plan includes possible workforce reductions, asset sales, and dependence on a transition services agreement from Intel.</w:t>
      </w:r>
    </w:p>
    <w:p>
      <w:pPr>
        <w:pStyle w:val="Heading1"/>
      </w:pPr>
      <w:r>
        <w:t>Board-Level Decision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Decision point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Current view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  <w:sz w:val="18"/>
              </w:rPr>
              <w:t>Information needed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Proceed to diligence?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Yes, subject to risk screen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Confirm public Intel restructuring context and regulatory sensitivity.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Accept workforce rationalization?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Possible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Quantify severance, legal consultation, and reputational risk.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Acquire all listed assets?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Exclude assets tied to government funding, export controls, or unclear IP.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Announce deal publicly?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Not before diligence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Need public narrative analysis and comms plan.</w:t>
            </w:r>
          </w:p>
        </w:tc>
      </w:tr>
    </w:tbl>
    <w:p/>
    <w:p>
      <w:pPr>
        <w:pStyle w:val="Heading1"/>
      </w:pPr>
      <w:r>
        <w:t>AI POC Questions</w:t>
      </w:r>
    </w:p>
    <w:p>
      <w:pPr>
        <w:pStyle w:val="ListNumber"/>
      </w:pPr>
      <w:r>
        <w:t>Summarize the transaction in plain English for management.</w:t>
      </w:r>
    </w:p>
    <w:p>
      <w:pPr>
        <w:pStyle w:val="ListNumber"/>
      </w:pPr>
      <w:r>
        <w:t>Extract all red flags from the proposal and disclosure schedule.</w:t>
      </w:r>
    </w:p>
    <w:p>
      <w:pPr>
        <w:pStyle w:val="ListNumber"/>
      </w:pPr>
      <w:r>
        <w:t>Find where the documents mention layoffs, employee retention, divestitures, and excluded assets.</w:t>
      </w:r>
    </w:p>
    <w:p>
      <w:pPr>
        <w:pStyle w:val="ListNumber"/>
      </w:pPr>
      <w:r>
        <w:t>Search public sources for Intel layoffs, asset sales, government support, or restructuring.</w:t>
      </w:r>
    </w:p>
    <w:p>
      <w:pPr>
        <w:pStyle w:val="ListNumber"/>
      </w:pPr>
      <w:r>
        <w:t>Create a final memo that separates internal document evidence from public research evidence.</w:t>
      </w:r>
    </w:p>
    <w:p>
      <w:r>
        <w:t>End of fictional POC board note.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