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5" w:name="antimony-tutorial"/>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12"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9">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0">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1">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1"/>
        </w:numPr>
      </w:pPr>
      <w:r>
        <w:t xml:space="preserve">Easily define species, reactions, compartments, events, and other</w:t>
      </w:r>
      <w:r>
        <w:t xml:space="preserve"> </w:t>
      </w:r>
      <w:r>
        <w:t xml:space="preserve">elements of a biological model.</w:t>
      </w:r>
    </w:p>
    <w:p>
      <w:pPr>
        <w:pStyle w:val="Compact"/>
        <w:numPr>
          <w:ilvl w:val="0"/>
          <w:numId w:val="1001"/>
        </w:numPr>
      </w:pPr>
      <w:r>
        <w:t xml:space="preserve">Package and re-use models as modules with defined or implied</w:t>
      </w:r>
      <w:r>
        <w:t xml:space="preserve"> </w:t>
      </w:r>
      <w:r>
        <w:t xml:space="preserve">interfaces.</w:t>
      </w:r>
    </w:p>
    <w:bookmarkEnd w:id="12"/>
    <w:bookmarkStart w:id="13" w:name="change-log"/>
    <w:p>
      <w:pPr>
        <w:pStyle w:val="Heading2"/>
      </w:pPr>
      <w:r>
        <w:t xml:space="preserve">Change Log</w:t>
      </w:r>
    </w:p>
    <w:p>
      <w:pPr>
        <w:pStyle w:val="FirstParagraph"/>
      </w:pPr>
      <w:r>
        <w:t xml:space="preserve">The 3.2 release cleaned up the build system, increased efficiency, and fixed numerous bugs, mostly discovered through converting SBML Test Suite models and BioModels to Antimony and back to SBML, and ensuring that a simulation of the round-tripped model matched a simulation of the original model. The entirety of the SBML Test Suite (with the exception of</w:t>
      </w:r>
      <w:r>
        <w:t xml:space="preserve"> </w:t>
      </w:r>
      <w:r>
        <w:t xml:space="preserve">‘fast’</w:t>
      </w:r>
      <w:r>
        <w:t xml:space="preserve"> </w:t>
      </w:r>
      <w:r>
        <w:t xml:space="preserve">reactions, now deprecated in SBML) now successfully round-trips through Antimony without loss of information (though some things may change structurally for hierarchical models), as do most BioModels.</w:t>
      </w:r>
    </w:p>
    <w:p>
      <w:pPr>
        <w:pStyle w:val="BodyText"/>
      </w:pPr>
      <w:r>
        <w:t xml:space="preserve">The 3.1 release changed FBC support to version 3 of that package, changing</w:t>
      </w:r>
      <w:r>
        <w:t xml:space="preserve"> </w:t>
      </w:r>
      <w:r>
        <w:t xml:space="preserve">how FBC constraints were translated to SBML (but not changing how they</w:t>
      </w:r>
      <w:r>
        <w:t xml:space="preserve"> </w:t>
      </w:r>
      <w:r>
        <w:t xml:space="preserve">were declared in Antimony), and adding support for gene products, gene</w:t>
      </w:r>
      <w:r>
        <w:t xml:space="preserve"> </w:t>
      </w:r>
      <w:r>
        <w:t xml:space="preserve">product associations, species charges, and species chemical formulas.</w:t>
      </w:r>
    </w:p>
    <w:p>
      <w:pPr>
        <w:pStyle w:val="BodyText"/>
      </w:pPr>
      <w:r>
        <w:t xml:space="preserve">In addition,</w:t>
      </w:r>
      <w:r>
        <w:t xml:space="preserve"> </w:t>
      </w:r>
      <w:r>
        <w:t xml:space="preserve">‘substanceOnly’</w:t>
      </w:r>
      <w:r>
        <w:t xml:space="preserve"> </w:t>
      </w:r>
      <w:r>
        <w:t xml:space="preserve">species are now initialized to their SBML</w:t>
      </w:r>
      <w:r>
        <w:t xml:space="preserve"> </w:t>
      </w:r>
      <w:r>
        <w:t xml:space="preserve">‘initialAmount’</w:t>
      </w:r>
      <w:r>
        <w:t xml:space="preserve">, so as to always have substance units.</w:t>
      </w:r>
    </w:p>
    <w:p>
      <w:pPr>
        <w:pStyle w:val="BodyText"/>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3"/>
    <w:bookmarkStart w:id="14"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4"/>
    <w:bookmarkStart w:id="30" w:name="model-elements"/>
    <w:p>
      <w:pPr>
        <w:pStyle w:val="Heading2"/>
      </w:pPr>
      <w:r>
        <w:t xml:space="preserve">Model Elements</w:t>
      </w:r>
    </w:p>
    <w:bookmarkStart w:id="15"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5"/>
    <w:bookmarkStart w:id="16"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6"/>
    <w:bookmarkStart w:id="17"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7"/>
    <w:bookmarkStart w:id="18"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8"/>
    <w:bookmarkStart w:id="19"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02"/>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03"/>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19"/>
    <w:bookmarkStart w:id="20"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k1*S1*mitochondria</w:t>
      </w:r>
      <w:r>
        <w:br/>
      </w:r>
      <w:r>
        <w:rPr>
          <w:rStyle w:val="VerbatimChar"/>
        </w:rPr>
        <w:t xml:space="preserve">  S2 -&gt; S3; k2*S2*cytoplasm</w:t>
      </w:r>
      <w:r>
        <w:br/>
      </w:r>
      <w:r>
        <w:rPr>
          <w:rStyle w:val="VerbatimChar"/>
        </w:rPr>
        <w:t xml:space="preserve">  S3 -&gt; S4; k3*S3*cytoplasm</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FirstParagraph"/>
      </w:pPr>
      <w:r>
        <w:t xml:space="preserve">Note that reaction rates must be in units of amount/time, so since species are expressed in terms of concentration by default, they should be multiplied by their compartment volumes to make the units work out.</w:t>
      </w:r>
    </w:p>
    <w:bookmarkEnd w:id="20"/>
    <w:bookmarkStart w:id="24"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2"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1">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2"/>
    <w:bookmarkStart w:id="23"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3"/>
    <w:bookmarkEnd w:id="24"/>
    <w:bookmarkStart w:id="25"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r>
        <w:t xml:space="preserve">below</w:t>
      </w:r>
      <w:r>
        <w:t xml:space="preserve">.</w:t>
      </w:r>
    </w:p>
    <w:bookmarkEnd w:id="25"/>
    <w:bookmarkStart w:id="26"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6"/>
    <w:bookmarkStart w:id="27"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r>
        <w:t xml:space="preserve">full list</w:t>
      </w:r>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7"/>
    <w:bookmarkStart w:id="28"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r>
        <w:t xml:space="preserve">below</w:t>
      </w:r>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8"/>
    <w:bookmarkStart w:id="29"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29"/>
    <w:bookmarkEnd w:id="30"/>
    <w:bookmarkStart w:id="51" w:name="signals"/>
    <w:p>
      <w:pPr>
        <w:pStyle w:val="Heading2"/>
      </w:pPr>
      <w:r>
        <w:t xml:space="preserve">Signals</w:t>
      </w:r>
    </w:p>
    <w:p>
      <w:pPr>
        <w:pStyle w:val="FirstParagraph"/>
      </w:pPr>
      <w:r>
        <w:t xml:space="preserve">Signals can be generated by combining assignment rules with events.</w:t>
      </w:r>
    </w:p>
    <w:bookmarkStart w:id="34"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2" name="Picture"/>
            <a:graphic>
              <a:graphicData uri="http://schemas.openxmlformats.org/drawingml/2006/picture">
                <pic:pic>
                  <pic:nvPicPr>
                    <pic:cNvPr descr="images/antimony_0.png" id="33" name="Picture"/>
                    <pic:cNvPicPr>
                      <a:picLocks noChangeArrowheads="1" noChangeAspect="1"/>
                    </pic:cNvPicPr>
                  </pic:nvPicPr>
                  <pic:blipFill>
                    <a:blip r:embed="rId31"/>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4"/>
    <w:bookmarkStart w:id="38"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6" name="Picture"/>
            <a:graphic>
              <a:graphicData uri="http://schemas.openxmlformats.org/drawingml/2006/picture">
                <pic:pic>
                  <pic:nvPicPr>
                    <pic:cNvPr descr="images/antimony_1.png" id="37" name="Picture"/>
                    <pic:cNvPicPr>
                      <a:picLocks noChangeArrowheads="1" noChangeAspect="1"/>
                    </pic:cNvPicPr>
                  </pic:nvPicPr>
                  <pic:blipFill>
                    <a:blip r:embed="rId35"/>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8"/>
    <w:bookmarkStart w:id="42"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0" name="Picture"/>
            <a:graphic>
              <a:graphicData uri="http://schemas.openxmlformats.org/drawingml/2006/picture">
                <pic:pic>
                  <pic:nvPicPr>
                    <pic:cNvPr descr="images/antimony_2.png" id="41" name="Picture"/>
                    <pic:cNvPicPr>
                      <a:picLocks noChangeArrowheads="1" noChangeAspect="1"/>
                    </pic:cNvPicPr>
                  </pic:nvPicPr>
                  <pic:blipFill>
                    <a:blip r:embed="rId39"/>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2"/>
    <w:bookmarkStart w:id="46"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4" name="Picture"/>
            <a:graphic>
              <a:graphicData uri="http://schemas.openxmlformats.org/drawingml/2006/picture">
                <pic:pic>
                  <pic:nvPicPr>
                    <pic:cNvPr descr="images/antimony_3.png" id="45" name="Picture"/>
                    <pic:cNvPicPr>
                      <a:picLocks noChangeArrowheads="1" noChangeAspect="1"/>
                    </pic:cNvPicPr>
                  </pic:nvPicPr>
                  <pic:blipFill>
                    <a:blip r:embed="rId43"/>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6"/>
    <w:bookmarkStart w:id="50"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8" name="Picture"/>
            <a:graphic>
              <a:graphicData uri="http://schemas.openxmlformats.org/drawingml/2006/picture">
                <pic:pic>
                  <pic:nvPicPr>
                    <pic:cNvPr descr="images/antimony_4.png" id="49" name="Picture"/>
                    <pic:cNvPicPr>
                      <a:picLocks noChangeArrowheads="1" noChangeAspect="1"/>
                    </pic:cNvPicPr>
                  </pic:nvPicPr>
                  <pic:blipFill>
                    <a:blip r:embed="rId47"/>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0"/>
    <w:bookmarkEnd w:id="51"/>
    <w:bookmarkStart w:id="80" w:name="language-reference"/>
    <w:p>
      <w:pPr>
        <w:pStyle w:val="Heading2"/>
      </w:pPr>
      <w:r>
        <w:t xml:space="preserve">Language Reference</w:t>
      </w:r>
    </w:p>
    <w:bookmarkStart w:id="52"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2"/>
    <w:bookmarkStart w:id="53"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also changed:</w:t>
      </w:r>
    </w:p>
    <w:p>
      <w:pPr>
        <w:pStyle w:val="SourceCode"/>
      </w:pPr>
      <w:r>
        <w:rPr>
          <w:rStyle w:val="VerbatimChar"/>
        </w:rPr>
        <w:t xml:space="preserve">S1 = 2.5;</w:t>
      </w:r>
    </w:p>
    <w:p>
      <w:pPr>
        <w:pStyle w:val="FirstParagraph"/>
      </w:pPr>
      <w:r>
        <w:t xml:space="preserve">This will set the initial amount to 2.5, not the initial concentration.</w:t>
      </w:r>
      <w:r>
        <w:t xml:space="preserve"> </w:t>
      </w:r>
      <w:r>
        <w:t xml:space="preserve">If you wish to set the initial concentration instead, use the compartment:</w:t>
      </w:r>
    </w:p>
    <w:p>
      <w:pPr>
        <w:pStyle w:val="SourceCode"/>
      </w:pPr>
      <w:r>
        <w:rPr>
          <w:rStyle w:val="VerbatimChar"/>
        </w:rPr>
        <w:t xml:space="preserve">S1 = 3.1*C</w:t>
      </w:r>
    </w:p>
    <w:p>
      <w:pPr>
        <w:pStyle w:val="FirstParagraph"/>
      </w:pPr>
      <w:r>
        <w:t xml:space="preserve">Because a concentration times the compartment volume yields an amount, in</w:t>
      </w:r>
      <w:r>
        <w:t xml:space="preserve"> </w:t>
      </w:r>
      <w:r>
        <w:t xml:space="preserve">this formulation,</w:t>
      </w:r>
      <w:r>
        <w:t xml:space="preserve"> </w:t>
      </w:r>
      <w:r>
        <w:t xml:space="preserve">‘3.1’</w:t>
      </w:r>
      <w:r>
        <w:t xml:space="preserve"> </w:t>
      </w:r>
      <w:r>
        <w:t xml:space="preserve">is set as the initial concentration.</w:t>
      </w:r>
    </w:p>
    <w:bookmarkEnd w:id="53"/>
    <w:bookmarkStart w:id="54" w:name="named-stoichiometries"/>
    <w:p>
      <w:pPr>
        <w:pStyle w:val="Heading3"/>
      </w:pPr>
      <w:r>
        <w:t xml:space="preserve">Named stoichiometries</w:t>
      </w:r>
    </w:p>
    <w:p>
      <w:pPr>
        <w:pStyle w:val="FirstParagraph"/>
      </w:pPr>
      <w:r>
        <w:t xml:space="preserve">A stoichiometry in a reaction may be given an ID instead of a number, and that ID may be set later:</w:t>
      </w:r>
    </w:p>
    <w:p>
      <w:pPr>
        <w:pStyle w:val="SourceCode"/>
      </w:pPr>
      <w:r>
        <w:rPr>
          <w:rStyle w:val="VerbatimChar"/>
        </w:rPr>
        <w:t xml:space="preserve">J0: n A -&gt; B; k1*A^n</w:t>
      </w:r>
      <w:r>
        <w:br/>
      </w:r>
      <w:r>
        <w:rPr>
          <w:rStyle w:val="VerbatimChar"/>
        </w:rPr>
        <w:t xml:space="preserve">n = 3</w:t>
      </w:r>
    </w:p>
    <w:p>
      <w:pPr>
        <w:pStyle w:val="FirstParagraph"/>
      </w:pPr>
      <w:r>
        <w:t xml:space="preserve">The id of the stoichiometry may now be changed by other model constructs: events, rate rules, and assignment rules may all use the value as a target:</w:t>
      </w:r>
    </w:p>
    <w:p>
      <w:pPr>
        <w:pStyle w:val="SourceCode"/>
      </w:pPr>
      <w:r>
        <w:rPr>
          <w:rStyle w:val="VerbatimChar"/>
        </w:rPr>
        <w:t xml:space="preserve">J0: n A -&gt; m B; k1*A^n</w:t>
      </w:r>
      <w:r>
        <w:br/>
      </w:r>
      <w:r>
        <w:rPr>
          <w:rStyle w:val="VerbatimChar"/>
        </w:rPr>
        <w:t xml:space="preserve">n := time/3</w:t>
      </w:r>
      <w:r>
        <w:br/>
      </w:r>
      <w:r>
        <w:rPr>
          <w:rStyle w:val="VerbatimChar"/>
        </w:rPr>
        <w:t xml:space="preserve">m = 1</w:t>
      </w:r>
      <w:r>
        <w:br/>
      </w:r>
      <w:r>
        <w:rPr>
          <w:rStyle w:val="VerbatimChar"/>
        </w:rPr>
        <w:t xml:space="preserve">at A &lt; 3: m = 2</w:t>
      </w:r>
    </w:p>
    <w:p>
      <w:pPr>
        <w:pStyle w:val="FirstParagraph"/>
      </w:pPr>
      <w:r>
        <w:t xml:space="preserve">This also gives the stoichiometry an ID that can be given a value directly (or be tracked) by some simulators (such as roadrunner).</w:t>
      </w:r>
    </w:p>
    <w:p>
      <w:pPr>
        <w:pStyle w:val="BodyText"/>
      </w:pPr>
      <w:r>
        <w:t xml:space="preserve">If you want to use the same ID for multiple stoichiometries, this can be done straightforwardly:</w:t>
      </w:r>
    </w:p>
    <w:p>
      <w:pPr>
        <w:pStyle w:val="SourceCode"/>
      </w:pPr>
      <w:r>
        <w:rPr>
          <w:rStyle w:val="VerbatimChar"/>
        </w:rPr>
        <w:t xml:space="preserve">J0: n A -&gt; n B; k1*A^n</w:t>
      </w:r>
      <w:r>
        <w:br/>
      </w:r>
      <w:r>
        <w:rPr>
          <w:rStyle w:val="VerbatimChar"/>
        </w:rPr>
        <w:t xml:space="preserve">n = 3</w:t>
      </w:r>
    </w:p>
    <w:p>
      <w:pPr>
        <w:pStyle w:val="FirstParagraph"/>
      </w:pPr>
      <w:r>
        <w:t xml:space="preserve">However! When translated to SBML, every stoichiometry must have a unique ID. Therefore, an assignment rule will be created to set the value of B’s stoichiometry to</w:t>
      </w:r>
      <w:r>
        <w:t xml:space="preserve"> </w:t>
      </w:r>
      <w:r>
        <w:t xml:space="preserve">‘n’</w:t>
      </w:r>
      <w:r>
        <w:t xml:space="preserve">. Effectively, the model will become:</w:t>
      </w:r>
    </w:p>
    <w:p>
      <w:pPr>
        <w:pStyle w:val="SourceCode"/>
      </w:pPr>
      <w:r>
        <w:rPr>
          <w:rStyle w:val="VerbatimChar"/>
        </w:rPr>
        <w:t xml:space="preserve">J0: n A -&gt; J0_B_stoich B; k1*A^n</w:t>
      </w:r>
      <w:r>
        <w:br/>
      </w:r>
      <w:r>
        <w:rPr>
          <w:rStyle w:val="VerbatimChar"/>
        </w:rPr>
        <w:t xml:space="preserve">n = 3</w:t>
      </w:r>
      <w:r>
        <w:br/>
      </w:r>
      <w:r>
        <w:rPr>
          <w:rStyle w:val="VerbatimChar"/>
        </w:rPr>
        <w:t xml:space="preserve">J0_B_stoich := n</w:t>
      </w:r>
    </w:p>
    <w:p>
      <w:pPr>
        <w:pStyle w:val="FirstParagraph"/>
      </w:pPr>
      <w:r>
        <w:t xml:space="preserve">This is mathematically identical, but some simulators may balk at an assignment rule to a stoichiometry, as this is a feature of SBML that not everyone supports. If this happens, just name all your stoichiometries uniquely:</w:t>
      </w:r>
    </w:p>
    <w:p>
      <w:pPr>
        <w:pStyle w:val="SourceCode"/>
      </w:pPr>
      <w:r>
        <w:rPr>
          <w:rStyle w:val="VerbatimChar"/>
        </w:rPr>
        <w:t xml:space="preserve">J0: n A -&gt; m B; k1*A^n</w:t>
      </w:r>
      <w:r>
        <w:br/>
      </w:r>
      <w:r>
        <w:rPr>
          <w:rStyle w:val="VerbatimChar"/>
        </w:rPr>
        <w:t xml:space="preserve">n = 3</w:t>
      </w:r>
      <w:r>
        <w:br/>
      </w:r>
      <w:r>
        <w:rPr>
          <w:rStyle w:val="VerbatimChar"/>
        </w:rPr>
        <w:t xml:space="preserve">m = 3</w:t>
      </w:r>
    </w:p>
    <w:p>
      <w:pPr>
        <w:pStyle w:val="FirstParagraph"/>
      </w:pPr>
      <w:r>
        <w:t xml:space="preserve">and remember to change them both at the same time.</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04"/>
        </w:numPr>
      </w:pPr>
      <w:r>
        <w:t xml:space="preserve">If the symbol has been declared to be in a compartment, it is in</w:t>
      </w:r>
      <w:r>
        <w:t xml:space="preserve"> </w:t>
      </w:r>
      <w:r>
        <w:t xml:space="preserve">that compartment.</w:t>
      </w:r>
    </w:p>
    <w:p>
      <w:pPr>
        <w:pStyle w:val="Compact"/>
        <w:numPr>
          <w:ilvl w:val="0"/>
          <w:numId w:val="1004"/>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04"/>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04"/>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04"/>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by default, once a trigger changes from false to true, the event</w:t>
      </w:r>
      <w:r>
        <w:t xml:space="preserve"> </w:t>
      </w:r>
      <w:r>
        <w:t xml:space="preserve">assignments will always be executed, perhaps after a delay, or perhaps</w:t>
      </w:r>
      <w:r>
        <w:t xml:space="preserve"> </w:t>
      </w:r>
      <w:r>
        <w:t xml:space="preserve">after waiting for other simultaneously-triggered events to be executed.</w:t>
      </w:r>
      <w:r>
        <w:t xml:space="preserve"> </w:t>
      </w:r>
      <w:r>
        <w:t xml:space="preserve">This is a</w:t>
      </w:r>
      <w:r>
        <w:t xml:space="preserve"> </w:t>
      </w:r>
      <w:r>
        <w:t xml:space="preserve">‘persistent’</w:t>
      </w:r>
      <w:r>
        <w:t xml:space="preserve"> </w:t>
      </w:r>
      <w:r>
        <w:t xml:space="preserve">event: the event remains in the</w:t>
      </w:r>
      <w:r>
        <w:t xml:space="preserve"> </w:t>
      </w:r>
      <w:r>
        <w:t xml:space="preserve">‘queue’</w:t>
      </w:r>
      <w:r>
        <w:t xml:space="preserve"> </w:t>
      </w:r>
      <w:r>
        <w:t xml:space="preserve">regardless</w:t>
      </w:r>
      <w:r>
        <w:t xml:space="preserve"> </w:t>
      </w:r>
      <w:r>
        <w:t xml:space="preserve">of whether the trigger condition later changed from</w:t>
      </w:r>
      <w:r>
        <w:t xml:space="preserve"> </w:t>
      </w:r>
      <w:r>
        <w:t xml:space="preserve">‘true’</w:t>
      </w:r>
      <w:r>
        <w:t xml:space="preserve"> </w:t>
      </w:r>
      <w:r>
        <w:t xml:space="preserve">back to</w:t>
      </w:r>
      <w:r>
        <w:t xml:space="preserve"> </w:t>
      </w:r>
      <w:r>
        <w:t xml:space="preserve">‘false’</w:t>
      </w:r>
      <w:r>
        <w:t xml:space="preserve">.</w:t>
      </w:r>
    </w:p>
    <w:p>
      <w:pPr>
        <w:pStyle w:val="BodyText"/>
      </w:pPr>
      <w:r>
        <w:t xml:space="preserve">However, the opposite is also possible: some events’ assignments will</w:t>
      </w:r>
      <w:r>
        <w:t xml:space="preserve"> </w:t>
      </w:r>
      <w:r>
        <w:t xml:space="preserve">only be executed if the trigger remains</w:t>
      </w:r>
      <w:r>
        <w:t xml:space="preserve"> </w:t>
      </w:r>
      <w:r>
        <w:t xml:space="preserve">‘true’</w:t>
      </w:r>
      <w:r>
        <w:t xml:space="preserve"> </w:t>
      </w:r>
      <w:r>
        <w:t xml:space="preserve">up until the moment of</w:t>
      </w:r>
      <w:r>
        <w:t xml:space="preserve"> </w:t>
      </w:r>
      <w:r>
        <w:t xml:space="preserve">assignment execution. These events are flagged as being</w:t>
      </w:r>
      <w:r>
        <w:t xml:space="preserve"> </w:t>
      </w:r>
      <w:r>
        <w:t xml:space="preserve">‘non-persistent’</w:t>
      </w:r>
      <w:r>
        <w:t xml:space="preserve">,</w:t>
      </w:r>
      <w:r>
        <w:t xml:space="preserve"> </w:t>
      </w:r>
      <w:r>
        <w:t xml:space="preserve">indicating that their triggers must be continually checked until execution.</w:t>
      </w:r>
      <w:r>
        <w:t xml:space="preserve"> </w:t>
      </w:r>
      <w:r>
        <w:t xml:space="preserve">In Antimony, you can set this directly by setting</w:t>
      </w:r>
      <w:r>
        <w:t xml:space="preserve"> </w:t>
      </w:r>
      <w:r>
        <w:t xml:space="preserve">‘persistent=false’</w:t>
      </w:r>
      <w:r>
        <w:t xml:space="preserve">:</w:t>
      </w:r>
    </w:p>
    <w:p>
      <w:pPr>
        <w:pStyle w:val="SourceCode"/>
      </w:pPr>
      <w:r>
        <w:rPr>
          <w:rStyle w:val="VerbatimChar"/>
        </w:rPr>
        <w:t xml:space="preserve">E1: at 3 after (x&gt;5), persistent=false: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‘persistent=true’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r>
        <w:t xml:space="preserve">user-defined function definitions</w:t>
      </w:r>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p>
      <w:pPr>
        <w:pStyle w:val="FirstParagraph"/>
      </w:pPr>
      <w:r>
        <w:t xml:space="preserve">An SBML reaction’s kinetic law can be annotated separately from the reaction</w:t>
      </w:r>
      <w:r>
        <w:t xml:space="preserve"> </w:t>
      </w:r>
      <w:r>
        <w:t xml:space="preserve">itself. We can also do this in Antimony by appending</w:t>
      </w:r>
      <w:r>
        <w:t xml:space="preserve"> </w:t>
      </w:r>
      <w:r>
        <w:t xml:space="preserve">‘.kineticLaw’</w:t>
      </w:r>
      <w:r>
        <w:t xml:space="preserve"> </w:t>
      </w:r>
      <w:r>
        <w:t xml:space="preserve">to</w:t>
      </w:r>
      <w:r>
        <w:t xml:space="preserve"> </w:t>
      </w:r>
      <w:r>
        <w:t xml:space="preserve">a reaction ID and setting the annotation there:</w:t>
      </w:r>
    </w:p>
    <w:p>
      <w:pPr>
        <w:pStyle w:val="SourceCode"/>
      </w:pPr>
      <w:r>
        <w:rPr>
          <w:rStyle w:val="VerbatimChar"/>
        </w:rPr>
        <w:t xml:space="preserve">J0.kineticLaw.sboTerm = 42</w:t>
      </w:r>
      <w:r>
        <w:br/>
      </w:r>
      <w:r>
        <w:rPr>
          <w:rStyle w:val="VerbatimChar"/>
        </w:rPr>
        <w:t xml:space="preserve">J0.kineticLaw identity "cvterm"</w:t>
      </w:r>
    </w:p>
    <w:bookmarkEnd w:id="71"/>
    <w:bookmarkStart w:id="76" w:name="flux-balance-constraints"/>
    <w:p>
      <w:pPr>
        <w:pStyle w:val="Heading3"/>
      </w:pPr>
      <w:r>
        <w:t xml:space="preserve">Flux Balance Constraints</w:t>
      </w:r>
    </w:p>
    <w:bookmarkStart w:id="72" w:name="constraints"/>
    <w:p>
      <w:pPr>
        <w:pStyle w:val="Heading4"/>
      </w:pPr>
      <w:r>
        <w:t xml:space="preserve">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(Any constraint is treated as</w:t>
      </w:r>
      <w:r>
        <w:t xml:space="preserve"> </w:t>
      </w:r>
      <w:r>
        <w:t xml:space="preserve">either an FBC constraint</w:t>
      </w:r>
      <w:r>
        <w:t xml:space="preserve"> </w:t>
      </w:r>
      <w:r>
        <w:rPr>
          <w:i/>
          <w:iCs/>
        </w:rPr>
        <w:t xml:space="preserve">or</w:t>
      </w:r>
      <w:r>
        <w:t xml:space="preserve"> </w:t>
      </w:r>
      <w:r>
        <w:t xml:space="preserve">a core SBML constraint, not both.)</w:t>
      </w:r>
    </w:p>
    <w:p>
      <w:pPr>
        <w:pStyle w:val="BodyText"/>
      </w:pPr>
      <w:r>
        <w:t xml:space="preserve">As of Antimony v3.1, these flux balance constraints are translated to</w:t>
      </w:r>
      <w:r>
        <w:t xml:space="preserve"> </w:t>
      </w:r>
      <w:r>
        <w:t xml:space="preserve">the SBML FBC package version 3, instead of version 1. Because all</w:t>
      </w:r>
      <w:r>
        <w:t xml:space="preserve"> </w:t>
      </w:r>
      <w:r>
        <w:t xml:space="preserve">FBC v3 constraints are stored as parameters, a translation of FBC</w:t>
      </w:r>
      <w:r>
        <w:t xml:space="preserve"> </w:t>
      </w:r>
      <w:r>
        <w:t xml:space="preserve">constraints to Antimony will result in constaints like the following:</w:t>
      </w:r>
    </w:p>
    <w:p>
      <w:pPr>
        <w:pStyle w:val="SourceCode"/>
      </w:pPr>
      <w:r>
        <w:rPr>
          <w:rStyle w:val="VerbatimChar"/>
        </w:rPr>
        <w:t xml:space="preserve">constraint J001_fluxBounds: FB2N0 &lt;= J001 &lt;= FB3N1</w:t>
      </w:r>
      <w:r>
        <w:br/>
      </w:r>
      <w:r>
        <w:rPr>
          <w:rStyle w:val="VerbatimChar"/>
        </w:rPr>
        <w:t xml:space="preserve">constraint J002_fluxBounds: FB2N0 &lt;= J002 &lt;= FB3N1</w:t>
      </w:r>
      <w:r>
        <w:br/>
      </w:r>
      <w:r>
        <w:br/>
      </w:r>
      <w:r>
        <w:rPr>
          <w:rStyle w:val="VerbatimChar"/>
        </w:rPr>
        <w:t xml:space="preserve">FB2N0 = 0;</w:t>
      </w:r>
      <w:r>
        <w:br/>
      </w:r>
      <w:r>
        <w:rPr>
          <w:rStyle w:val="VerbatimChar"/>
        </w:rPr>
        <w:t xml:space="preserve">FB3N1 = 1;</w:t>
      </w:r>
    </w:p>
    <w:p>
      <w:pPr>
        <w:pStyle w:val="FirstParagraph"/>
      </w:pPr>
      <w:r>
        <w:t xml:space="preserve">Also note that since FBC v2 and v3 dropped</w:t>
      </w:r>
      <w:r>
        <w:t xml:space="preserve"> </w:t>
      </w:r>
      <w:r>
        <w:t xml:space="preserve">‘&lt;’</w:t>
      </w:r>
      <w:r>
        <w:t xml:space="preserve"> </w:t>
      </w:r>
      <w:r>
        <w:t xml:space="preserve">in favor of</w:t>
      </w:r>
      <w:r>
        <w:t xml:space="preserve"> </w:t>
      </w:r>
      <w:r>
        <w:t xml:space="preserve">‘&lt;=’</w:t>
      </w:r>
      <w:r>
        <w:t xml:space="preserve">,</w:t>
      </w:r>
      <w:r>
        <w:t xml:space="preserve"> </w:t>
      </w:r>
      <w:r>
        <w:t xml:space="preserve">all FBC constraints will be converted to</w:t>
      </w:r>
      <w:r>
        <w:t xml:space="preserve"> </w:t>
      </w:r>
      <w:r>
        <w:t xml:space="preserve">‘&lt;=’</w:t>
      </w:r>
      <w:r>
        <w:t xml:space="preserve"> </w:t>
      </w:r>
      <w:r>
        <w:t xml:space="preserve">and</w:t>
      </w:r>
      <w:r>
        <w:t xml:space="preserve"> </w:t>
      </w:r>
      <w:r>
        <w:t xml:space="preserve">‘&gt;=’</w:t>
      </w:r>
      <w:r>
        <w:t xml:space="preserve">.</w:t>
      </w:r>
    </w:p>
    <w:bookmarkEnd w:id="72"/>
    <w:bookmarkStart w:id="73" w:name="objectives"/>
    <w:p>
      <w:pPr>
        <w:pStyle w:val="Heading4"/>
      </w:pPr>
      <w:r>
        <w:t xml:space="preserve">Objectives</w:t>
      </w:r>
    </w:p>
    <w:p>
      <w:pPr>
        <w:pStyle w:val="FirstParagraph"/>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p>
      <w:pPr>
        <w:pStyle w:val="FirstParagraph"/>
      </w:pPr>
      <w:r>
        <w:t xml:space="preserve">Objectives may be fairly complicated, but must be strict additive</w:t>
      </w:r>
      <w:r>
        <w:t xml:space="preserve"> </w:t>
      </w:r>
      <w:r>
        <w:t xml:space="preserve">combinations of multiples of reaction rates, with those reaction rates</w:t>
      </w:r>
      <w:r>
        <w:t xml:space="preserve"> </w:t>
      </w:r>
      <w:r>
        <w:t xml:space="preserve">optionally being squared or multiplied by other reaction rates:</w:t>
      </w:r>
    </w:p>
    <w:p>
      <w:pPr>
        <w:pStyle w:val="SourceCode"/>
      </w:pPr>
      <w:r>
        <w:rPr>
          <w:rStyle w:val="VerbatimChar"/>
        </w:rPr>
        <w:t xml:space="preserve">obj3: maximize J1 + 3*J2 + 4*J3^2 + 5*J4*J5</w:t>
      </w:r>
    </w:p>
    <w:bookmarkEnd w:id="73"/>
    <w:bookmarkStart w:id="74" w:name="X03dbc526dc4cea15bbccfad422f3dd4caeddfd8"/>
    <w:p>
      <w:pPr>
        <w:pStyle w:val="Heading4"/>
      </w:pPr>
      <w:r>
        <w:t xml:space="preserve">Gene Products and Gene Product Associations</w:t>
      </w:r>
    </w:p>
    <w:p>
      <w:pPr>
        <w:pStyle w:val="FirstParagraph"/>
      </w:pPr>
      <w:r>
        <w:t xml:space="preserve">The SBML FBC package also allows the definition of gene products,</w:t>
      </w:r>
      <w:r>
        <w:t xml:space="preserve"> </w:t>
      </w:r>
      <w:r>
        <w:t xml:space="preserve">which may optionally reference a species, and gene product associations,</w:t>
      </w:r>
      <w:r>
        <w:t xml:space="preserve"> </w:t>
      </w:r>
      <w:r>
        <w:t xml:space="preserve">which are additional information about reactions. A gene product</w:t>
      </w:r>
      <w:r>
        <w:t xml:space="preserve"> </w:t>
      </w:r>
      <w:r>
        <w:t xml:space="preserve">association may be defined by appending</w:t>
      </w:r>
      <w:r>
        <w:t xml:space="preserve"> </w:t>
      </w:r>
      <w:r>
        <w:t xml:space="preserve">‘.geneProductAssociation’</w:t>
      </w:r>
      <w:r>
        <w:t xml:space="preserve"> </w:t>
      </w:r>
      <w:r>
        <w:t xml:space="preserve">or</w:t>
      </w:r>
      <w:r>
        <w:t xml:space="preserve"> </w:t>
      </w:r>
      <w:r>
        <w:t xml:space="preserve">‘.gpa’</w:t>
      </w:r>
      <w:r>
        <w:t xml:space="preserve"> </w:t>
      </w:r>
      <w:r>
        <w:t xml:space="preserve">to a reaction ID, and defined by combining any number of gene</w:t>
      </w:r>
      <w:r>
        <w:t xml:space="preserve"> </w:t>
      </w:r>
      <w:r>
        <w:t xml:space="preserve">product IDs in</w:t>
      </w:r>
      <w:r>
        <w:t xml:space="preserve"> </w:t>
      </w:r>
      <w:r>
        <w:t xml:space="preserve">‘and’</w:t>
      </w:r>
      <w:r>
        <w:t xml:space="preserve"> </w:t>
      </w:r>
      <w:r>
        <w:t xml:space="preserve">and</w:t>
      </w:r>
      <w:r>
        <w:t xml:space="preserve"> </w:t>
      </w:r>
      <w:r>
        <w:t xml:space="preserve">‘or’</w:t>
      </w:r>
      <w:r>
        <w:t xml:space="preserve"> </w:t>
      </w:r>
      <w:r>
        <w:t xml:space="preserve">combinations:</w:t>
      </w:r>
    </w:p>
    <w:p>
      <w:pPr>
        <w:pStyle w:val="SourceCode"/>
      </w:pPr>
      <w:r>
        <w:rPr>
          <w:rStyle w:val="VerbatimChar"/>
        </w:rPr>
        <w:t xml:space="preserve">J0.geneProductAssociation = G_kasB</w:t>
      </w:r>
      <w:r>
        <w:br/>
      </w:r>
      <w:r>
        <w:rPr>
          <w:rStyle w:val="VerbatimChar"/>
        </w:rPr>
        <w:t xml:space="preserve">J1.gpa                    = G_kasB &amp;&amp; G_kasA;</w:t>
      </w:r>
      <w:r>
        <w:br/>
      </w:r>
      <w:r>
        <w:rPr>
          <w:rStyle w:val="VerbatimChar"/>
        </w:rPr>
        <w:t xml:space="preserve">J2.gpa                    = (G_kasB &amp;&amp; G_kasA) || G_kasC</w:t>
      </w:r>
    </w:p>
    <w:p>
      <w:pPr>
        <w:pStyle w:val="FirstParagraph"/>
      </w:pPr>
      <w:r>
        <w:t xml:space="preserve">Any ID used in a gene product association will be automatically</w:t>
      </w:r>
      <w:r>
        <w:t xml:space="preserve"> </w:t>
      </w:r>
      <w:r>
        <w:t xml:space="preserve">defined as a gene product, but you may also define them explicitly:</w:t>
      </w:r>
    </w:p>
    <w:p>
      <w:pPr>
        <w:pStyle w:val="SourceCode"/>
      </w:pPr>
      <w:r>
        <w:rPr>
          <w:rStyle w:val="VerbatimChar"/>
        </w:rPr>
        <w:t xml:space="preserve">geneProduct G_kasA, G_kasB, G_kasC</w:t>
      </w:r>
    </w:p>
    <w:p>
      <w:pPr>
        <w:pStyle w:val="FirstParagraph"/>
      </w:pPr>
      <w:r>
        <w:t xml:space="preserve">Commonly-used gene product names sometimes to not conform to the</w:t>
      </w:r>
      <w:r>
        <w:t xml:space="preserve"> </w:t>
      </w:r>
      <w:r>
        <w:t xml:space="preserve">Antimony or SBML-style syntax for IDs. As a result, the FBC package</w:t>
      </w:r>
      <w:r>
        <w:t xml:space="preserve"> </w:t>
      </w:r>
      <w:r>
        <w:t xml:space="preserve">adds a</w:t>
      </w:r>
      <w:r>
        <w:t xml:space="preserve"> </w:t>
      </w:r>
      <w:r>
        <w:t xml:space="preserve">‘label’</w:t>
      </w:r>
      <w:r>
        <w:t xml:space="preserve"> </w:t>
      </w:r>
      <w:r>
        <w:t xml:space="preserve">to gene products which may be any syntax. In Antimony,</w:t>
      </w:r>
      <w:r>
        <w:t xml:space="preserve"> </w:t>
      </w:r>
      <w:r>
        <w:t xml:space="preserve">the</w:t>
      </w:r>
      <w:r>
        <w:t xml:space="preserve"> </w:t>
      </w:r>
      <w:r>
        <w:t xml:space="preserve">‘display name’</w:t>
      </w:r>
      <w:r>
        <w:t xml:space="preserve"> </w:t>
      </w:r>
      <w:r>
        <w:t xml:space="preserve">is used for this purpose:</w:t>
      </w:r>
    </w:p>
    <w:p>
      <w:pPr>
        <w:pStyle w:val="SourceCode"/>
      </w:pPr>
      <w:r>
        <w:rPr>
          <w:rStyle w:val="VerbatimChar"/>
        </w:rPr>
        <w:t xml:space="preserve">G_kasA is "Gene-kasA"</w:t>
      </w:r>
    </w:p>
    <w:p>
      <w:pPr>
        <w:pStyle w:val="FirstParagraph"/>
      </w:pPr>
      <w:r>
        <w:t xml:space="preserve">To declare an</w:t>
      </w:r>
      <w:r>
        <w:t xml:space="preserve"> </w:t>
      </w:r>
      <w:r>
        <w:t xml:space="preserve">‘associated species’</w:t>
      </w:r>
      <w:r>
        <w:t xml:space="preserve"> </w:t>
      </w:r>
      <w:r>
        <w:t xml:space="preserve">for a gene product, simply use</w:t>
      </w:r>
      <w:r>
        <w:t xml:space="preserve"> </w:t>
      </w:r>
      <w:r>
        <w:t xml:space="preserve">‘=’</w:t>
      </w:r>
      <w:r>
        <w:t xml:space="preserve">:</w:t>
      </w:r>
    </w:p>
    <w:p>
      <w:pPr>
        <w:pStyle w:val="SourceCode"/>
      </w:pPr>
      <w:r>
        <w:rPr>
          <w:rStyle w:val="VerbatimChar"/>
        </w:rPr>
        <w:t xml:space="preserve">G_kasA = S1</w:t>
      </w:r>
    </w:p>
    <w:bookmarkEnd w:id="74"/>
    <w:bookmarkStart w:id="75" w:name="species-charge-and-chemical-formula"/>
    <w:p>
      <w:pPr>
        <w:pStyle w:val="Heading4"/>
      </w:pPr>
      <w:r>
        <w:t xml:space="preserve">Species charge and chemical formula</w:t>
      </w:r>
    </w:p>
    <w:p>
      <w:pPr>
        <w:pStyle w:val="FirstParagraph"/>
      </w:pPr>
      <w:r>
        <w:t xml:space="preserve">The SBML FBC package additionally allows the charge and chemical</w:t>
      </w:r>
      <w:r>
        <w:t xml:space="preserve"> </w:t>
      </w:r>
      <w:r>
        <w:t xml:space="preserve">formulas of species to be stored. The charge must be a number, and</w:t>
      </w:r>
      <w:r>
        <w:t xml:space="preserve"> </w:t>
      </w:r>
      <w:r>
        <w:t xml:space="preserve">the chemical formula must conform to the syntax defined in the FBC</w:t>
      </w:r>
      <w:r>
        <w:t xml:space="preserve"> </w:t>
      </w:r>
      <w:r>
        <w:t xml:space="preserve">specification, with (essentially) numbers and atom names, in alphabetical</w:t>
      </w:r>
      <w:r>
        <w:t xml:space="preserve"> </w:t>
      </w:r>
      <w:r>
        <w:t xml:space="preserve">order after carbon, though some variation is allowed. The charge is</w:t>
      </w:r>
      <w:r>
        <w:t xml:space="preserve"> </w:t>
      </w:r>
      <w:r>
        <w:t xml:space="preserve">defined with</w:t>
      </w:r>
      <w:r>
        <w:t xml:space="preserve"> </w:t>
      </w:r>
      <w:r>
        <w:t xml:space="preserve">‘[speciesID].charge’</w:t>
      </w:r>
      <w:r>
        <w:t xml:space="preserve">, and the chemical formula may be</w:t>
      </w:r>
      <w:r>
        <w:t xml:space="preserve"> </w:t>
      </w:r>
      <w:r>
        <w:t xml:space="preserve">defined with</w:t>
      </w:r>
      <w:r>
        <w:t xml:space="preserve"> </w:t>
      </w:r>
      <w:r>
        <w:t xml:space="preserve">‘[id].formula’</w:t>
      </w:r>
      <w:r>
        <w:t xml:space="preserve"> </w:t>
      </w:r>
      <w:r>
        <w:t xml:space="preserve">or</w:t>
      </w:r>
      <w:r>
        <w:t xml:space="preserve"> </w:t>
      </w:r>
      <w:r>
        <w:t xml:space="preserve">‘[id].chemicalFormula’</w:t>
      </w:r>
      <w:r>
        <w:t xml:space="preserve">. Alternatively,</w:t>
      </w:r>
      <w:r>
        <w:t xml:space="preserve"> </w:t>
      </w:r>
      <w:r>
        <w:t xml:space="preserve">‘is’</w:t>
      </w:r>
      <w:r>
        <w:t xml:space="preserve"> </w:t>
      </w:r>
      <w:r>
        <w:t xml:space="preserve">may be used, but either way, the formula must be in quotes:</w:t>
      </w:r>
    </w:p>
    <w:p>
      <w:pPr>
        <w:pStyle w:val="SourceCode"/>
      </w:pPr>
      <w:r>
        <w:rPr>
          <w:rStyle w:val="VerbatimChar"/>
        </w:rPr>
        <w:t xml:space="preserve">S1.charge = 3.2</w:t>
      </w:r>
      <w:r>
        <w:br/>
      </w:r>
      <w:r>
        <w:rPr>
          <w:rStyle w:val="VerbatimChar"/>
        </w:rPr>
        <w:t xml:space="preserve">S2.chemicalFormula = "C10H12N5O13P3"</w:t>
      </w:r>
      <w:r>
        <w:br/>
      </w:r>
      <w:r>
        <w:rPr>
          <w:rStyle w:val="VerbatimChar"/>
        </w:rPr>
        <w:t xml:space="preserve">S3.formula = "C2H4O2(CH2)n"</w:t>
      </w:r>
      <w:r>
        <w:br/>
      </w:r>
      <w:r>
        <w:rPr>
          <w:rStyle w:val="VerbatimChar"/>
        </w:rPr>
        <w:t xml:space="preserve">S4.formula is "CH2NO"</w:t>
      </w:r>
    </w:p>
    <w:bookmarkEnd w:id="75"/>
    <w:bookmarkEnd w:id="76"/>
    <w:bookmarkStart w:id="77"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7"/>
    <w:bookmarkStart w:id="79"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8">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9"/>
    <w:bookmarkEnd w:id="80"/>
    <w:bookmarkStart w:id="90"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81"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81"/>
    <w:bookmarkStart w:id="82"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82"/>
    <w:bookmarkStart w:id="83"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83"/>
    <w:bookmarkStart w:id="84"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4"/>
    <w:bookmarkStart w:id="85"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5"/>
    <w:bookmarkStart w:id="86"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6"/>
    <w:bookmarkStart w:id="87"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7"/>
    <w:bookmarkStart w:id="88"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05"/>
        </w:numPr>
      </w:pPr>
      <w:r>
        <w:t xml:space="preserve">[number]: a number</w:t>
      </w:r>
    </w:p>
    <w:p>
      <w:pPr>
        <w:pStyle w:val="Compact"/>
        <w:numPr>
          <w:ilvl w:val="0"/>
          <w:numId w:val="1005"/>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05"/>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05"/>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05"/>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8"/>
    <w:bookmarkStart w:id="89" w:name="a-full-example"/>
    <w:p>
      <w:pPr>
        <w:pStyle w:val="Heading3"/>
      </w:pPr>
      <w:r>
        <w:t xml:space="preserve">A full example</w:t>
      </w:r>
    </w:p>
    <w:p>
      <w:pPr>
        <w:pStyle w:val="FirstParagraph"/>
      </w:pPr>
      <w:r>
        <w:t xml:space="preserve">Here’s a fairly complete model that exercises most of the elements of a typical Antimony layout:</w:t>
      </w:r>
    </w:p>
    <w:p>
      <w:pPr>
        <w:pStyle w:val="SourceCode"/>
      </w:pPr>
      <w:r>
        <w:rPr>
          <w:rStyle w:val="VerbatimChar"/>
        </w:rPr>
        <w:t xml:space="preserve">    J0: S1-&gt;S2;</w:t>
      </w:r>
      <w:r>
        <w:br/>
      </w:r>
      <w:r>
        <w:rPr>
          <w:rStyle w:val="VerbatimChar"/>
        </w:rPr>
        <w:t xml:space="preserve">    # If you just want layout on:</w:t>
      </w:r>
      <w:r>
        <w:br/>
      </w:r>
      <w:r>
        <w:rPr>
          <w:rStyle w:val="VerbatimChar"/>
        </w:rPr>
        <w:t xml:space="preserve">    model.layout = on                   # Only need to turn on if don't define anything else; doesn't work to turn it off.</w:t>
      </w:r>
      <w:r>
        <w:br/>
      </w:r>
      <w:r>
        <w:br/>
      </w:r>
      <w:r>
        <w:rPr>
          <w:rStyle w:val="VerbatimChar"/>
        </w:rPr>
        <w:t xml:space="preserve">    //Autolayout options:</w:t>
      </w:r>
      <w:r>
        <w:br/>
      </w:r>
      <w:r>
        <w:rPr>
          <w:rStyle w:val="VerbatimChar"/>
        </w:rPr>
        <w:t xml:space="preserve">    model.autolayout.maxNumConnectedEdges = 5  # If a single species is involved in more than this number of reactions, it gets aliased.  Default 3.</w:t>
      </w:r>
      <w:r>
        <w:br/>
      </w:r>
      <w:r>
        <w:br/>
      </w:r>
      <w:r>
        <w:rPr>
          <w:rStyle w:val="VerbatimChar"/>
        </w:rPr>
        <w:t xml:space="preserve">    # General layout defaults:</w:t>
      </w:r>
      <w:r>
        <w:br/>
      </w:r>
      <w:r>
        <w:rPr>
          <w:rStyle w:val="VerbatimChar"/>
        </w:rPr>
        <w:t xml:space="preserve">    model.layout.style = calm           # Set the overall style to one of Adel's predefined styles.</w:t>
      </w:r>
      <w:r>
        <w:br/>
      </w:r>
      <w:r>
        <w:rPr>
          <w:rStyle w:val="VerbatimChar"/>
        </w:rPr>
        <w:t xml:space="preserve">    model.layout.align_top = {S1}       # Align these nodes in the same row at the top of the layout.  </w:t>
      </w:r>
      <w:r>
        <w:br/>
      </w:r>
      <w:r>
        <w:rPr>
          <w:rStyle w:val="VerbatimChar"/>
        </w:rPr>
        <w:t xml:space="preserve">                                        # (Also available: align_ - bottom, right, left, hCenter, vCenter, and circular)</w:t>
      </w:r>
      <w:r>
        <w:br/>
      </w:r>
      <w:r>
        <w:rPr>
          <w:rStyle w:val="VerbatimChar"/>
        </w:rPr>
        <w:t xml:space="preserve">    model.layout.size = {505, 404}      # {width, height}  The size of the entire layout. </w:t>
      </w:r>
      <w:r>
        <w:br/>
      </w:r>
      <w:r>
        <w:rPr>
          <w:rStyle w:val="VerbatimChar"/>
        </w:rPr>
        <w:t xml:space="preserve">    model.layout.width = 505            # alt for 'size'   The width of the entire layout.</w:t>
      </w:r>
      <w:r>
        <w:br/>
      </w:r>
      <w:r>
        <w:rPr>
          <w:rStyle w:val="VerbatimChar"/>
        </w:rPr>
        <w:t xml:space="preserve">    model.layout.height = 404           # alt for 'size'   The height of the entire layout.</w:t>
      </w:r>
      <w:r>
        <w:br/>
      </w:r>
      <w:r>
        <w:br/>
      </w:r>
      <w:r>
        <w:rPr>
          <w:rStyle w:val="VerbatimChar"/>
        </w:rPr>
        <w:t xml:space="preserve">    model.layout.background = fuchsia   # The background color</w:t>
      </w:r>
      <w:r>
        <w:br/>
      </w:r>
      <w:r>
        <w:rPr>
          <w:rStyle w:val="VerbatimChar"/>
        </w:rPr>
        <w:t xml:space="preserve">    model.layout.color = khaki          # (or 'fillcolor')  The fill color for all elements in the layout</w:t>
      </w:r>
      <w:r>
        <w:br/>
      </w:r>
      <w:r>
        <w:rPr>
          <w:rStyle w:val="VerbatimChar"/>
        </w:rPr>
        <w:t xml:space="preserve">    model.layout.linecolor = azure      # (or 'strokecolor')  The default line color for all elements in the layout</w:t>
      </w:r>
      <w:r>
        <w:br/>
      </w:r>
      <w:r>
        <w:rPr>
          <w:rStyle w:val="VerbatimChar"/>
        </w:rPr>
        <w:t xml:space="preserve">    model.layout.linewidth = 32         # (or 'strokewidth')  The default linewidth for all elements in the layout</w:t>
      </w:r>
      <w:r>
        <w:br/>
      </w:r>
      <w:r>
        <w:rPr>
          <w:rStyle w:val="VerbatimChar"/>
        </w:rPr>
        <w:t xml:space="preserve">    model.layout.fontcolor = coral      # The default font color for all text in the layout</w:t>
      </w:r>
      <w:r>
        <w:br/>
      </w:r>
      <w:r>
        <w:rPr>
          <w:rStyle w:val="VerbatimChar"/>
        </w:rPr>
        <w:t xml:space="preserve">    model.layout.font = monospace       # The default font for all text in the layout (predefined options are 'serif' (default), 'sans_serif', and 'monospace', but arbitrary font names are also legal.)</w:t>
      </w:r>
      <w:r>
        <w:br/>
      </w:r>
      <w:r>
        <w:rPr>
          <w:rStyle w:val="VerbatimChar"/>
        </w:rPr>
        <w:t xml:space="preserve">    model.layout.fontsize = 4           # The default font size for all text in the layout (default 10)</w:t>
      </w:r>
      <w:r>
        <w:br/>
      </w:r>
      <w:r>
        <w:rPr>
          <w:rStyle w:val="VerbatimChar"/>
        </w:rPr>
        <w:t xml:space="preserve">    model.layout.fontstyle = italic     # (or 'fontweight')  The default font style for all text in the layout (options are 'normal' (default), 'bold', 'italic', and 'bold_italic').</w:t>
      </w:r>
      <w:r>
        <w:br/>
      </w:r>
      <w:r>
        <w:br/>
      </w:r>
      <w:r>
        <w:rPr>
          <w:rStyle w:val="VerbatimChar"/>
        </w:rPr>
        <w:t xml:space="preserve">    # Group type defaults (species, compartments, reactions)</w:t>
      </w:r>
      <w:r>
        <w:br/>
      </w:r>
      <w:r>
        <w:rPr>
          <w:rStyle w:val="VerbatimChar"/>
        </w:rPr>
        <w:t xml:space="preserve">    species.size = {68, 101}            # The default size (width, height) for all species in the layout</w:t>
      </w:r>
      <w:r>
        <w:br/>
      </w:r>
      <w:r>
        <w:rPr>
          <w:rStyle w:val="VerbatimChar"/>
        </w:rPr>
        <w:t xml:space="preserve">    species.width = 68                  # The default height for all species in the layout</w:t>
      </w:r>
      <w:r>
        <w:br/>
      </w:r>
      <w:r>
        <w:rPr>
          <w:rStyle w:val="VerbatimChar"/>
        </w:rPr>
        <w:t xml:space="preserve">    species.height = 101                # The default height for all species in the layout</w:t>
      </w:r>
      <w:r>
        <w:br/>
      </w:r>
      <w:r>
        <w:rPr>
          <w:rStyle w:val="VerbatimChar"/>
        </w:rPr>
        <w:t xml:space="preserve">    species.color = blue                # (or 'fillcolor')  The default fill color for all species in the layout</w:t>
      </w:r>
      <w:r>
        <w:br/>
      </w:r>
      <w:r>
        <w:rPr>
          <w:rStyle w:val="VerbatimChar"/>
        </w:rPr>
        <w:t xml:space="preserve">    species.linecolor = orange          # (or 'strokecolor')  The default line color for all species in the layout</w:t>
      </w:r>
      <w:r>
        <w:br/>
      </w:r>
      <w:r>
        <w:rPr>
          <w:rStyle w:val="VerbatimChar"/>
        </w:rPr>
        <w:t xml:space="preserve">    species.linewidth = 11              # (or 'strokewidth')  The default linewidth for all species in the layout</w:t>
      </w:r>
      <w:r>
        <w:br/>
      </w:r>
      <w:r>
        <w:rPr>
          <w:rStyle w:val="VerbatimChar"/>
        </w:rPr>
        <w:t xml:space="preserve">    species.fontcolor = green           # The default font color for all species in the layout</w:t>
      </w:r>
      <w:r>
        <w:br/>
      </w:r>
      <w:r>
        <w:rPr>
          <w:rStyle w:val="VerbatimChar"/>
        </w:rPr>
        <w:t xml:space="preserve">    species.font = sans_serif           # The default font for all species in the layout (predefined options are 'serif' (default), 'sans_serif', and 'monospace', but arbitrary font names are also legal.)</w:t>
      </w:r>
      <w:r>
        <w:br/>
      </w:r>
      <w:r>
        <w:rPr>
          <w:rStyle w:val="VerbatimChar"/>
        </w:rPr>
        <w:t xml:space="preserve">    species.fontsize = 8                # The default font size for all species in the layout (default 10)</w:t>
      </w:r>
      <w:r>
        <w:br/>
      </w:r>
      <w:r>
        <w:rPr>
          <w:rStyle w:val="VerbatimChar"/>
        </w:rPr>
        <w:t xml:space="preserve">    species.fontstyle = bold_italic     # (or 'fontweight')  The default font style for all species in the layout (options are 'normal' (default), 'bold', 'italic', and 'bold_italic').</w:t>
      </w:r>
      <w:r>
        <w:br/>
      </w:r>
      <w:r>
        <w:rPr>
          <w:rStyle w:val="VerbatimChar"/>
        </w:rPr>
        <w:t xml:space="preserve">    species.shape = ellipse             # The default shape for all species in the layout (options are 'rectangle' (default), 'square', 'ellipse', 'circle', 'triangle', 'diamond', 'pentagon', 'hexagon', and 'octagon').</w:t>
      </w:r>
      <w:r>
        <w:br/>
      </w:r>
      <w:r>
        <w:br/>
      </w:r>
      <w:r>
        <w:rPr>
          <w:rStyle w:val="VerbatimChar"/>
        </w:rPr>
        <w:t xml:space="preserve">    # Individual species options:</w:t>
      </w:r>
      <w:r>
        <w:br/>
      </w:r>
      <w:r>
        <w:rPr>
          <w:rStyle w:val="VerbatimChar"/>
        </w:rPr>
        <w:t xml:space="preserve">    S1.pos = {28, 35}                   # The position (x, y) of S1 in the layout.  By default, determined by autolayout.</w:t>
      </w:r>
      <w:r>
        <w:br/>
      </w:r>
      <w:r>
        <w:rPr>
          <w:rStyle w:val="VerbatimChar"/>
        </w:rPr>
        <w:t xml:space="preserve">    S1.x = 28                           # (alt for pos) The x position of S1.</w:t>
      </w:r>
      <w:r>
        <w:br/>
      </w:r>
      <w:r>
        <w:rPr>
          <w:rStyle w:val="VerbatimChar"/>
        </w:rPr>
        <w:t xml:space="preserve">    S1.y = 35                           # (alt for pos) The y position of S1.</w:t>
      </w:r>
      <w:r>
        <w:br/>
      </w:r>
      <w:r>
        <w:br/>
      </w:r>
      <w:r>
        <w:rPr>
          <w:rStyle w:val="VerbatimChar"/>
        </w:rPr>
        <w:t xml:space="preserve">    # Species options that override general species options:</w:t>
      </w:r>
      <w:r>
        <w:br/>
      </w:r>
      <w:r>
        <w:rPr>
          <w:rStyle w:val="VerbatimChar"/>
        </w:rPr>
        <w:t xml:space="preserve">    S1.size = {55, 66}      # The size (width, height) of S1.  </w:t>
      </w:r>
      <w:r>
        <w:br/>
      </w:r>
      <w:r>
        <w:rPr>
          <w:rStyle w:val="VerbatimChar"/>
        </w:rPr>
        <w:t xml:space="preserve">    S1.width = 55           # (alt for size). The width of S1.</w:t>
      </w:r>
      <w:r>
        <w:br/>
      </w:r>
      <w:r>
        <w:rPr>
          <w:rStyle w:val="VerbatimChar"/>
        </w:rPr>
        <w:t xml:space="preserve">    S1.height = 66          # (alt for size). The height of S1.</w:t>
      </w:r>
      <w:r>
        <w:br/>
      </w:r>
      <w:r>
        <w:rPr>
          <w:rStyle w:val="VerbatimChar"/>
        </w:rPr>
        <w:t xml:space="preserve">    S1.color = magenta      # (or 'fillcolor')  The fill color for S1</w:t>
      </w:r>
      <w:r>
        <w:br/>
      </w:r>
      <w:r>
        <w:rPr>
          <w:rStyle w:val="VerbatimChar"/>
        </w:rPr>
        <w:t xml:space="preserve">    S1.linecolor = yellow   # (or 'strokecolor')  The line color for S1</w:t>
      </w:r>
      <w:r>
        <w:br/>
      </w:r>
      <w:r>
        <w:rPr>
          <w:rStyle w:val="VerbatimChar"/>
        </w:rPr>
        <w:t xml:space="preserve">    S1.linewidth = 18       # (or 'strokewidth')  The linewidth for S1</w:t>
      </w:r>
      <w:r>
        <w:br/>
      </w:r>
      <w:r>
        <w:rPr>
          <w:rStyle w:val="VerbatimChar"/>
        </w:rPr>
        <w:t xml:space="preserve">    S1.fontcolor = gray     # The font color for S1</w:t>
      </w:r>
      <w:r>
        <w:br/>
      </w:r>
      <w:r>
        <w:rPr>
          <w:rStyle w:val="VerbatimChar"/>
        </w:rPr>
        <w:t xml:space="preserve">    S1.font = serif         # The font for S1 (predefined options are 'serif' (default), 'sans_serif', and 'monospace', but arbitrary font names are also legal.)</w:t>
      </w:r>
      <w:r>
        <w:br/>
      </w:r>
      <w:r>
        <w:rPr>
          <w:rStyle w:val="VerbatimChar"/>
        </w:rPr>
        <w:t xml:space="preserve">    S1.fontsize = 19        # The font size for S1 (default 10)</w:t>
      </w:r>
      <w:r>
        <w:br/>
      </w:r>
      <w:r>
        <w:rPr>
          <w:rStyle w:val="VerbatimChar"/>
        </w:rPr>
        <w:t xml:space="preserve">    S1.fontstyle = bold     # (or 'fontweight')  The font style for S1 (options are 'normal' (default), 'bold', 'italic', and 'bold_italic').</w:t>
      </w:r>
      <w:r>
        <w:br/>
      </w:r>
      <w:r>
        <w:rPr>
          <w:rStyle w:val="VerbatimChar"/>
        </w:rPr>
        <w:t xml:space="preserve">    S1.shape = ellipse      # The shape for S1 (options are 'rectangle' (default), 'square', 'ellipse', 'circle', 'triangle', 'diamond', 'pentagon', 'hexagon', and 'octagon').</w:t>
      </w:r>
      <w:r>
        <w:br/>
      </w:r>
      <w:r>
        <w:br/>
      </w:r>
      <w:r>
        <w:rPr>
          <w:rStyle w:val="VerbatimChar"/>
        </w:rPr>
        <w:t xml:space="preserve">    J0.S1.species_end = {28, 34} # The position of the outer (species-side) end of the line between 'S1' and 'J0' (where J0 is the central point of the reaction)</w:t>
      </w:r>
      <w:r>
        <w:br/>
      </w:r>
      <w:r>
        <w:rPr>
          <w:rStyle w:val="VerbatimChar"/>
        </w:rPr>
        <w:t xml:space="preserve">    J0.S1.b1  = {55, 31}         # The first control point for the line between S1 and J0.</w:t>
      </w:r>
      <w:r>
        <w:br/>
      </w:r>
      <w:r>
        <w:rPr>
          <w:rStyle w:val="VerbatimChar"/>
        </w:rPr>
        <w:t xml:space="preserve">    J0.S1.b2  = {58, 25}         # The second control point for the line between S1 and J0.</w:t>
      </w:r>
      <w:r>
        <w:br/>
      </w:r>
      <w:r>
        <w:rPr>
          <w:rStyle w:val="VerbatimChar"/>
        </w:rPr>
        <w:t xml:space="preserve">    J0.S1.rxn_end = {60, 24}     # The inner (reaction-side) end of the line between S1 and J0.  Usually not needed; the position is by default the position of the reaction itself.</w:t>
      </w:r>
      <w:r>
        <w:br/>
      </w:r>
      <w:r>
        <w:br/>
      </w:r>
      <w:r>
        <w:br/>
      </w:r>
      <w:r>
        <w:rPr>
          <w:rStyle w:val="VerbatimChar"/>
        </w:rPr>
        <w:t xml:space="preserve">    #Align example:</w:t>
      </w:r>
      <w:r>
        <w:br/>
      </w:r>
      <w:r>
        <w:rPr>
          <w:rStyle w:val="VerbatimChar"/>
        </w:rPr>
        <w:t xml:space="preserve">    S1-&gt;S2;</w:t>
      </w:r>
      <w:r>
        <w:br/>
      </w:r>
      <w:r>
        <w:rPr>
          <w:rStyle w:val="VerbatimChar"/>
        </w:rPr>
        <w:t xml:space="preserve">    S2-&gt;S3;</w:t>
      </w:r>
      <w:r>
        <w:br/>
      </w:r>
      <w:r>
        <w:rPr>
          <w:rStyle w:val="VerbatimChar"/>
        </w:rPr>
        <w:t xml:space="preserve">    S3-&gt;S4;</w:t>
      </w:r>
      <w:r>
        <w:br/>
      </w:r>
      <w:r>
        <w:rPr>
          <w:rStyle w:val="VerbatimChar"/>
        </w:rPr>
        <w:t xml:space="preserve">    S4-&gt;S5; </w:t>
      </w:r>
      <w:r>
        <w:br/>
      </w:r>
      <w:r>
        <w:br/>
      </w:r>
      <w:r>
        <w:rPr>
          <w:rStyle w:val="VerbatimChar"/>
        </w:rPr>
        <w:t xml:space="preserve">    model.layout.align_top = {S1, S2, S3}</w:t>
      </w:r>
      <w:r>
        <w:br/>
      </w:r>
      <w:r>
        <w:rPr>
          <w:rStyle w:val="VerbatimChar"/>
        </w:rPr>
        <w:t xml:space="preserve">    model.layout.align_right = {S3, S4, S5}</w:t>
      </w:r>
    </w:p>
    <w:bookmarkEnd w:id="89"/>
    <w:bookmarkEnd w:id="90"/>
    <w:bookmarkStart w:id="91"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06"/>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06"/>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06"/>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06"/>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06"/>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06"/>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06"/>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06"/>
        </w:numPr>
      </w:pPr>
      <w:r>
        <w:t xml:space="preserve">DNA strands in Antimony disappear in SBML.</w:t>
      </w:r>
    </w:p>
    <w:p>
      <w:pPr>
        <w:pStyle w:val="Compact"/>
        <w:numPr>
          <w:ilvl w:val="0"/>
          <w:numId w:val="1006"/>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06"/>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06"/>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06"/>
        </w:numPr>
      </w:pPr>
      <w:r>
        <w:t xml:space="preserve">The MathML csymbol</w:t>
      </w:r>
      <w:r>
        <w:t xml:space="preserve"> </w:t>
      </w:r>
      <w:r>
        <w:t xml:space="preserve">‘delay’</w:t>
      </w:r>
      <w:r>
        <w:t xml:space="preserve"> </w:t>
      </w:r>
      <w:r>
        <w:t xml:space="preserve">in SBML disappears in Antimony.</w:t>
      </w:r>
    </w:p>
    <w:p>
      <w:pPr>
        <w:pStyle w:val="Compact"/>
        <w:numPr>
          <w:ilvl w:val="0"/>
          <w:numId w:val="1006"/>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07"/>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06"/>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91"/>
    <w:bookmarkStart w:id="94" w:name="further-reading"/>
    <w:p>
      <w:pPr>
        <w:pStyle w:val="Heading2"/>
      </w:pPr>
      <w:r>
        <w:t xml:space="preserve">Further Reading</w:t>
      </w:r>
    </w:p>
    <w:p>
      <w:pPr>
        <w:pStyle w:val="Compact"/>
        <w:numPr>
          <w:ilvl w:val="0"/>
          <w:numId w:val="1008"/>
        </w:numPr>
      </w:pPr>
      <w:r>
        <w:t xml:space="preserve">Lucian Smith’s</w:t>
      </w:r>
      <w:r>
        <w:t xml:space="preserve"> </w:t>
      </w:r>
      <w:hyperlink r:id="rId92">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93">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08"/>
        </w:numPr>
      </w:pPr>
      <w:r>
        <w:t xml:space="preserve">This manual</w:t>
      </w:r>
      <w:r>
        <w:t xml:space="preserve"> </w:t>
      </w:r>
      <w:r>
        <w:t xml:space="preserve">in</w:t>
      </w:r>
      <w:r>
        <w:t xml:space="preserve"> </w:t>
      </w:r>
      <w:r>
        <w:t xml:space="preserve">PDF format.</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78" Target="http://antimony.sourceforge.net/" TargetMode="External" /><Relationship Type="http://schemas.openxmlformats.org/officeDocument/2006/relationships/hyperlink" Id="rId92"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1" Target="http://tellurium.analogmachine.org/" TargetMode="External" /><Relationship Type="http://schemas.openxmlformats.org/officeDocument/2006/relationships/hyperlink" Id="rId9" Target="http://www.celldesigner.org/" TargetMode="External" /><Relationship Type="http://schemas.openxmlformats.org/officeDocument/2006/relationships/hyperlink" Id="rId10" Target="https://github.com/BioModelTools/TemplateSB" TargetMode="External" /><Relationship Type="http://schemas.openxmlformats.org/officeDocument/2006/relationships/hyperlink" Id="rId21"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78" Target="http://antimony.sourceforge.net/" TargetMode="External" /><Relationship Type="http://schemas.openxmlformats.org/officeDocument/2006/relationships/hyperlink" Id="rId92"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1" Target="http://tellurium.analogmachine.org/" TargetMode="External" /><Relationship Type="http://schemas.openxmlformats.org/officeDocument/2006/relationships/hyperlink" Id="rId9" Target="http://www.celldesigner.org/" TargetMode="External" /><Relationship Type="http://schemas.openxmlformats.org/officeDocument/2006/relationships/hyperlink" Id="rId10" Target="https://github.com/BioModelTools/TemplateSB" TargetMode="External" /><Relationship Type="http://schemas.openxmlformats.org/officeDocument/2006/relationships/hyperlink" Id="rId21"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2026-08-27T17:34:54Z</dcterms:created>
  <dcterms:modified xsi:type="dcterms:W3CDTF">2026-08-27T17:34:54Z</dcterms:modified>
</cp:coreProperties>
</file>

<file path=docProps/custom.xml><?xml version="1.0" encoding="utf-8"?>
<Properties xmlns="http://schemas.openxmlformats.org/officeDocument/2006/custom-properties" xmlns:vt="http://schemas.openxmlformats.org/officeDocument/2006/docPropsVTypes"/>
</file>