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5" w:name="antimony-tutorial"/>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12"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9">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0">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1">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1"/>
        </w:numPr>
      </w:pPr>
      <w:r>
        <w:t xml:space="preserve">Easily define species, reactions, compartments, events, and other</w:t>
      </w:r>
      <w:r>
        <w:t xml:space="preserve"> </w:t>
      </w:r>
      <w:r>
        <w:t xml:space="preserve">elements of a biological model.</w:t>
      </w:r>
    </w:p>
    <w:p>
      <w:pPr>
        <w:pStyle w:val="Compact"/>
        <w:numPr>
          <w:ilvl w:val="0"/>
          <w:numId w:val="1001"/>
        </w:numPr>
      </w:pPr>
      <w:r>
        <w:t xml:space="preserve">Package and re-use models as modules with defined or implied</w:t>
      </w:r>
      <w:r>
        <w:t xml:space="preserve"> </w:t>
      </w:r>
      <w:r>
        <w:t xml:space="preserve">interfaces.</w:t>
      </w:r>
    </w:p>
    <w:bookmarkEnd w:id="12"/>
    <w:bookmarkStart w:id="13" w:name="change-log"/>
    <w:p>
      <w:pPr>
        <w:pStyle w:val="Heading2"/>
      </w:pPr>
      <w:r>
        <w:t xml:space="preserve">Change Log</w:t>
      </w:r>
    </w:p>
    <w:p>
      <w:pPr>
        <w:pStyle w:val="FirstParagraph"/>
      </w:pPr>
      <w:r>
        <w:t xml:space="preserve">The 3.2 release cleaned up the build system, increased efficiency, and fixed numerous bugs, mostly discovered through converting SBML Test Suite models and BioModels to Antimony and back to SBML, and ensuring that a simulation of the round-tripped model matched a simulation of the original model. The entirety of the SBML Test Suite (with the exception of</w:t>
      </w:r>
      <w:r>
        <w:t xml:space="preserve"> </w:t>
      </w:r>
      <w:r>
        <w:t xml:space="preserve">‘fast’</w:t>
      </w:r>
      <w:r>
        <w:t xml:space="preserve"> </w:t>
      </w:r>
      <w:r>
        <w:t xml:space="preserve">reactions, now deprecated in SBML) now successfully round-trips through Antimony without loss of information (though some things may change structurally for hierarchical models), as do most BioModels.</w:t>
      </w:r>
    </w:p>
    <w:p>
      <w:pPr>
        <w:pStyle w:val="BodyText"/>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3"/>
    <w:bookmarkStart w:id="14"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4"/>
    <w:bookmarkStart w:id="30" w:name="model-elements"/>
    <w:p>
      <w:pPr>
        <w:pStyle w:val="Heading2"/>
      </w:pPr>
      <w:r>
        <w:t xml:space="preserve">Model Elements</w:t>
      </w:r>
    </w:p>
    <w:bookmarkStart w:id="15"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5"/>
    <w:bookmarkStart w:id="16"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6"/>
    <w:bookmarkStart w:id="17"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7"/>
    <w:bookmarkStart w:id="18"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8"/>
    <w:bookmarkStart w:id="19"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02"/>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03"/>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19"/>
    <w:bookmarkStart w:id="20"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0"/>
    <w:bookmarkStart w:id="24"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2"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1">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2"/>
    <w:bookmarkStart w:id="23"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3"/>
    <w:bookmarkEnd w:id="24"/>
    <w:bookmarkStart w:id="25"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r>
        <w:t xml:space="preserve">below</w:t>
      </w:r>
      <w:r>
        <w:t xml:space="preserve">.</w:t>
      </w:r>
    </w:p>
    <w:bookmarkEnd w:id="25"/>
    <w:bookmarkStart w:id="26"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6"/>
    <w:bookmarkStart w:id="27"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r>
        <w:t xml:space="preserve">full list</w:t>
      </w:r>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7"/>
    <w:bookmarkStart w:id="28"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r>
        <w:t xml:space="preserve">below</w:t>
      </w:r>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8"/>
    <w:bookmarkStart w:id="29"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29"/>
    <w:bookmarkEnd w:id="30"/>
    <w:bookmarkStart w:id="51" w:name="signals"/>
    <w:p>
      <w:pPr>
        <w:pStyle w:val="Heading2"/>
      </w:pPr>
      <w:r>
        <w:t xml:space="preserve">Signals</w:t>
      </w:r>
    </w:p>
    <w:p>
      <w:pPr>
        <w:pStyle w:val="FirstParagraph"/>
      </w:pPr>
      <w:r>
        <w:t xml:space="preserve">Signals can be generated by combining assignment rules with events.</w:t>
      </w:r>
    </w:p>
    <w:bookmarkStart w:id="34"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2" name="Picture"/>
            <a:graphic>
              <a:graphicData uri="http://schemas.openxmlformats.org/drawingml/2006/picture">
                <pic:pic>
                  <pic:nvPicPr>
                    <pic:cNvPr descr="images/antimony_0.png" id="33" name="Picture"/>
                    <pic:cNvPicPr>
                      <a:picLocks noChangeArrowheads="1" noChangeAspect="1"/>
                    </pic:cNvPicPr>
                  </pic:nvPicPr>
                  <pic:blipFill>
                    <a:blip r:embed="rId31"/>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4"/>
    <w:bookmarkStart w:id="38"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6" name="Picture"/>
            <a:graphic>
              <a:graphicData uri="http://schemas.openxmlformats.org/drawingml/2006/picture">
                <pic:pic>
                  <pic:nvPicPr>
                    <pic:cNvPr descr="images/antimony_1.png" id="37" name="Picture"/>
                    <pic:cNvPicPr>
                      <a:picLocks noChangeArrowheads="1" noChangeAspect="1"/>
                    </pic:cNvPicPr>
                  </pic:nvPicPr>
                  <pic:blipFill>
                    <a:blip r:embed="rId35"/>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8"/>
    <w:bookmarkStart w:id="42"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0" name="Picture"/>
            <a:graphic>
              <a:graphicData uri="http://schemas.openxmlformats.org/drawingml/2006/picture">
                <pic:pic>
                  <pic:nvPicPr>
                    <pic:cNvPr descr="images/antimony_2.png" id="41" name="Picture"/>
                    <pic:cNvPicPr>
                      <a:picLocks noChangeArrowheads="1" noChangeAspect="1"/>
                    </pic:cNvPicPr>
                  </pic:nvPicPr>
                  <pic:blipFill>
                    <a:blip r:embed="rId39"/>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2"/>
    <w:bookmarkStart w:id="46"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4" name="Picture"/>
            <a:graphic>
              <a:graphicData uri="http://schemas.openxmlformats.org/drawingml/2006/picture">
                <pic:pic>
                  <pic:nvPicPr>
                    <pic:cNvPr descr="images/antimony_3.png" id="45" name="Picture"/>
                    <pic:cNvPicPr>
                      <a:picLocks noChangeArrowheads="1" noChangeAspect="1"/>
                    </pic:cNvPicPr>
                  </pic:nvPicPr>
                  <pic:blipFill>
                    <a:blip r:embed="rId43"/>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6"/>
    <w:bookmarkStart w:id="50"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8" name="Picture"/>
            <a:graphic>
              <a:graphicData uri="http://schemas.openxmlformats.org/drawingml/2006/picture">
                <pic:pic>
                  <pic:nvPicPr>
                    <pic:cNvPr descr="images/antimony_4.png" id="49" name="Picture"/>
                    <pic:cNvPicPr>
                      <a:picLocks noChangeArrowheads="1" noChangeAspect="1"/>
                    </pic:cNvPicPr>
                  </pic:nvPicPr>
                  <pic:blipFill>
                    <a:blip r:embed="rId47"/>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0"/>
    <w:bookmarkEnd w:id="51"/>
    <w:bookmarkStart w:id="80" w:name="language-reference"/>
    <w:p>
      <w:pPr>
        <w:pStyle w:val="Heading2"/>
      </w:pPr>
      <w:r>
        <w:t xml:space="preserve">Language Reference</w:t>
      </w:r>
    </w:p>
    <w:bookmarkStart w:id="52"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2"/>
    <w:bookmarkStart w:id="53"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SourceCode"/>
      </w:pPr>
      <w:r>
        <w:rPr>
          <w:rStyle w:val="VerbatimChar"/>
        </w:rPr>
        <w:t xml:space="preserve">S1 = 2.5;</w:t>
      </w:r>
    </w:p>
    <w:p>
      <w:pPr>
        <w:pStyle w:val="FirstParagraph"/>
      </w:pPr>
      <w:r>
        <w:t xml:space="preserve">This will set the initial amount to 2.5, not the initial concentration.</w:t>
      </w:r>
      <w:r>
        <w:t xml:space="preserve"> </w:t>
      </w:r>
      <w:r>
        <w:t xml:space="preserve">If you wish to set the initial concentration instead, use the compartment:</w:t>
      </w:r>
    </w:p>
    <w:p>
      <w:pPr>
        <w:pStyle w:val="SourceCode"/>
      </w:pPr>
      <w:r>
        <w:rPr>
          <w:rStyle w:val="VerbatimChar"/>
        </w:rPr>
        <w:t xml:space="preserve">S1 = 3.1*C</w:t>
      </w:r>
    </w:p>
    <w:p>
      <w:pPr>
        <w:pStyle w:val="FirstParagraph"/>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3"/>
    <w:bookmarkStart w:id="54" w:name="named-stoichiometries"/>
    <w:p>
      <w:pPr>
        <w:pStyle w:val="Heading3"/>
      </w:pPr>
      <w:r>
        <w:t xml:space="preserve">Named stoichiometries</w:t>
      </w:r>
    </w:p>
    <w:p>
      <w:pPr>
        <w:pStyle w:val="FirstParagraph"/>
      </w:pPr>
      <w:r>
        <w:t xml:space="preserve">A stoichiometry in a reaction may be given an ID instead of a number, and that ID may be set later:</w:t>
      </w:r>
    </w:p>
    <w:p>
      <w:pPr>
        <w:pStyle w:val="SourceCode"/>
      </w:pPr>
      <w:r>
        <w:rPr>
          <w:rStyle w:val="VerbatimChar"/>
        </w:rPr>
        <w:t xml:space="preserve">J0: n A -&gt; B; k1*A^n</w:t>
      </w:r>
      <w:r>
        <w:br/>
      </w:r>
      <w:r>
        <w:rPr>
          <w:rStyle w:val="VerbatimChar"/>
        </w:rPr>
        <w:t xml:space="preserve">n = 3</w:t>
      </w:r>
    </w:p>
    <w:p>
      <w:pPr>
        <w:pStyle w:val="FirstParagraph"/>
      </w:pPr>
      <w:r>
        <w:t xml:space="preserve">The id of the stoichiometry may now be changed by other model constructs: events, rate rules, and assignment rules may all use the value as a target:</w:t>
      </w:r>
    </w:p>
    <w:p>
      <w:pPr>
        <w:pStyle w:val="SourceCode"/>
      </w:pPr>
      <w:r>
        <w:rPr>
          <w:rStyle w:val="VerbatimChar"/>
        </w:rPr>
        <w:t xml:space="preserve">J0: n A -&gt; m B; k1*A^n</w:t>
      </w:r>
      <w:r>
        <w:br/>
      </w:r>
      <w:r>
        <w:rPr>
          <w:rStyle w:val="VerbatimChar"/>
        </w:rPr>
        <w:t xml:space="preserve">n := time/3</w:t>
      </w:r>
      <w:r>
        <w:br/>
      </w:r>
      <w:r>
        <w:rPr>
          <w:rStyle w:val="VerbatimChar"/>
        </w:rPr>
        <w:t xml:space="preserve">m = 1</w:t>
      </w:r>
      <w:r>
        <w:br/>
      </w:r>
      <w:r>
        <w:rPr>
          <w:rStyle w:val="VerbatimChar"/>
        </w:rPr>
        <w:t xml:space="preserve">at A &lt; 3: m = 2</w:t>
      </w:r>
    </w:p>
    <w:p>
      <w:pPr>
        <w:pStyle w:val="FirstParagraph"/>
      </w:pPr>
      <w:r>
        <w:t xml:space="preserve">This also gives the stoichiometry an ID that can be given a value directly (or be tracked) by some simulators (such as roadrunner).</w:t>
      </w:r>
    </w:p>
    <w:p>
      <w:pPr>
        <w:pStyle w:val="BodyText"/>
      </w:pPr>
      <w:r>
        <w:t xml:space="preserve">If you want to use the same ID for multiple stoichiometries, this can be done straightforwardly:</w:t>
      </w:r>
    </w:p>
    <w:p>
      <w:pPr>
        <w:pStyle w:val="SourceCode"/>
      </w:pPr>
      <w:r>
        <w:rPr>
          <w:rStyle w:val="VerbatimChar"/>
        </w:rPr>
        <w:t xml:space="preserve">J0: n A -&gt; n B; k1*A^n</w:t>
      </w:r>
      <w:r>
        <w:br/>
      </w:r>
      <w:r>
        <w:rPr>
          <w:rStyle w:val="VerbatimChar"/>
        </w:rPr>
        <w:t xml:space="preserve">n = 3</w:t>
      </w:r>
    </w:p>
    <w:p>
      <w:pPr>
        <w:pStyle w:val="FirstParagraph"/>
      </w:pPr>
      <w:r>
        <w:t xml:space="preserve">However! When translated to SBML, every stoichiometry must have a unique ID. Therefore, an assignment rule will be created to set the value of B’s stoichiometry to</w:t>
      </w:r>
      <w:r>
        <w:t xml:space="preserve"> </w:t>
      </w:r>
      <w:r>
        <w:t xml:space="preserve">‘n’</w:t>
      </w:r>
      <w:r>
        <w:t xml:space="preserve">. Effectively, the model will become:</w:t>
      </w:r>
    </w:p>
    <w:p>
      <w:pPr>
        <w:pStyle w:val="SourceCode"/>
      </w:pPr>
      <w:r>
        <w:rPr>
          <w:rStyle w:val="VerbatimChar"/>
        </w:rPr>
        <w:t xml:space="preserve">J0: n A -&gt; J0_B_stoich B; k1*A^n</w:t>
      </w:r>
      <w:r>
        <w:br/>
      </w:r>
      <w:r>
        <w:rPr>
          <w:rStyle w:val="VerbatimChar"/>
        </w:rPr>
        <w:t xml:space="preserve">n = 3</w:t>
      </w:r>
      <w:r>
        <w:br/>
      </w:r>
      <w:r>
        <w:rPr>
          <w:rStyle w:val="VerbatimChar"/>
        </w:rPr>
        <w:t xml:space="preserve">J0_B_stoich := n</w:t>
      </w:r>
    </w:p>
    <w:p>
      <w:pPr>
        <w:pStyle w:val="FirstParagraph"/>
      </w:pPr>
      <w:r>
        <w:t xml:space="preserve">This is mathematically identical, but some simulators may balk at an assignment rule to a stoichiometry, as this is a feature of SBML that not everyone supports. If this happens, just name all your stoichiometries uniquely:</w:t>
      </w:r>
    </w:p>
    <w:p>
      <w:pPr>
        <w:pStyle w:val="SourceCode"/>
      </w:pPr>
      <w:r>
        <w:rPr>
          <w:rStyle w:val="VerbatimChar"/>
        </w:rPr>
        <w:t xml:space="preserve">J0: n A -&gt; m B; k1*A^n</w:t>
      </w:r>
      <w:r>
        <w:br/>
      </w:r>
      <w:r>
        <w:rPr>
          <w:rStyle w:val="VerbatimChar"/>
        </w:rPr>
        <w:t xml:space="preserve">n = 3</w:t>
      </w:r>
      <w:r>
        <w:br/>
      </w:r>
      <w:r>
        <w:rPr>
          <w:rStyle w:val="VerbatimChar"/>
        </w:rPr>
        <w:t xml:space="preserve">m = 3</w:t>
      </w:r>
    </w:p>
    <w:p>
      <w:pPr>
        <w:pStyle w:val="FirstParagraph"/>
      </w:pPr>
      <w:r>
        <w:t xml:space="preserve">and remember to change them both at the same time.</w:t>
      </w:r>
    </w:p>
    <w:bookmarkEnd w:id="54"/>
    <w:bookmarkStart w:id="57"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5"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5"/>
    <w:bookmarkStart w:id="56"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6"/>
    <w:bookmarkEnd w:id="57"/>
    <w:bookmarkStart w:id="58"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8"/>
    <w:bookmarkStart w:id="59"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04"/>
        </w:numPr>
      </w:pPr>
      <w:r>
        <w:t xml:space="preserve">If the symbol has been declared to be in a compartment, it is in</w:t>
      </w:r>
      <w:r>
        <w:t xml:space="preserve"> </w:t>
      </w:r>
      <w:r>
        <w:t xml:space="preserve">that compartment.</w:t>
      </w:r>
    </w:p>
    <w:p>
      <w:pPr>
        <w:pStyle w:val="Compact"/>
        <w:numPr>
          <w:ilvl w:val="0"/>
          <w:numId w:val="1004"/>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04"/>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04"/>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04"/>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59"/>
    <w:bookmarkStart w:id="60"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by default, once a trigger changes from false to true, the event</w:t>
      </w:r>
      <w:r>
        <w:t xml:space="preserve"> </w:t>
      </w:r>
      <w:r>
        <w:t xml:space="preserve">assignments will always be executed, perhaps after a delay, or perhaps</w:t>
      </w:r>
      <w:r>
        <w:t xml:space="preserve"> </w:t>
      </w:r>
      <w:r>
        <w:t xml:space="preserve">after waiting for other simultaneously-triggered events to be executed.</w:t>
      </w:r>
      <w:r>
        <w:t xml:space="preserve"> </w:t>
      </w:r>
      <w:r>
        <w:t xml:space="preserve">This is a</w:t>
      </w:r>
      <w:r>
        <w:t xml:space="preserve"> </w:t>
      </w:r>
      <w:r>
        <w:t xml:space="preserve">‘persistent’</w:t>
      </w:r>
      <w:r>
        <w:t xml:space="preserve"> </w:t>
      </w:r>
      <w:r>
        <w:t xml:space="preserve">event: the event remains in the</w:t>
      </w:r>
      <w:r>
        <w:t xml:space="preserve"> </w:t>
      </w:r>
      <w:r>
        <w:t xml:space="preserve">‘queue’</w:t>
      </w:r>
      <w:r>
        <w:t xml:space="preserve"> </w:t>
      </w:r>
      <w:r>
        <w:t xml:space="preserve">regardless</w:t>
      </w:r>
      <w:r>
        <w:t xml:space="preserve"> </w:t>
      </w:r>
      <w:r>
        <w:t xml:space="preserve">of whether the trigger condition later changed from</w:t>
      </w:r>
      <w:r>
        <w:t xml:space="preserve"> </w:t>
      </w:r>
      <w:r>
        <w:t xml:space="preserve">‘true’</w:t>
      </w:r>
      <w:r>
        <w:t xml:space="preserve"> </w:t>
      </w:r>
      <w:r>
        <w:t xml:space="preserve">back to</w:t>
      </w:r>
      <w:r>
        <w:t xml:space="preserve"> </w:t>
      </w:r>
      <w:r>
        <w:t xml:space="preserve">‘false’</w:t>
      </w:r>
      <w:r>
        <w:t xml:space="preserve">.</w:t>
      </w:r>
    </w:p>
    <w:p>
      <w:pPr>
        <w:pStyle w:val="BodyText"/>
      </w:pPr>
      <w:r>
        <w:t xml:space="preserve">However, the opposite is also possible: some events’ assignments will</w:t>
      </w:r>
      <w:r>
        <w:t xml:space="preserve"> </w:t>
      </w:r>
      <w:r>
        <w:t xml:space="preserve">only be executed if the trigger remains</w:t>
      </w:r>
      <w:r>
        <w:t xml:space="preserve"> </w:t>
      </w:r>
      <w:r>
        <w:t xml:space="preserve">‘true’</w:t>
      </w:r>
      <w:r>
        <w:t xml:space="preserve"> </w:t>
      </w:r>
      <w:r>
        <w:t xml:space="preserve">up until the moment of</w:t>
      </w:r>
      <w:r>
        <w:t xml:space="preserve"> </w:t>
      </w:r>
      <w:r>
        <w:t xml:space="preserve">assignment execution. These events are flagged as being</w:t>
      </w:r>
      <w:r>
        <w:t xml:space="preserve"> </w:t>
      </w:r>
      <w:r>
        <w:t xml:space="preserve">‘non-persistent’</w:t>
      </w:r>
      <w:r>
        <w:t xml:space="preserve">,</w:t>
      </w:r>
      <w:r>
        <w:t xml:space="preserve"> </w:t>
      </w:r>
      <w:r>
        <w:t xml:space="preserve">indicating that their triggers must be continually checked until execution.</w:t>
      </w:r>
      <w:r>
        <w:t xml:space="preserve"> </w:t>
      </w:r>
      <w:r>
        <w:t xml:space="preserve">In Antimony, you can set this directly by setting</w:t>
      </w:r>
      <w:r>
        <w:t xml:space="preserve"> </w:t>
      </w:r>
      <w:r>
        <w:t xml:space="preserve">‘persistent=false’</w:t>
      </w:r>
      <w:r>
        <w:t xml:space="preserve">:</w:t>
      </w:r>
    </w:p>
    <w:p>
      <w:pPr>
        <w:pStyle w:val="SourceCode"/>
      </w:pPr>
      <w:r>
        <w:rPr>
          <w:rStyle w:val="VerbatimChar"/>
        </w:rPr>
        <w:t xml:space="preserve">E1: at 3 after (x&gt;5), persistent=false: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‘persistent=true’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0"/>
    <w:bookmarkStart w:id="61"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1"/>
    <w:bookmarkStart w:id="62"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2"/>
    <w:bookmarkStart w:id="63"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3"/>
    <w:bookmarkStart w:id="64"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4"/>
    <w:bookmarkStart w:id="66"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5">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6"/>
    <w:bookmarkStart w:id="67"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7"/>
    <w:bookmarkStart w:id="68"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8"/>
    <w:bookmarkStart w:id="69" w:name="predefined-function-definitions"/>
    <w:p>
      <w:pPr>
        <w:pStyle w:val="Heading3"/>
      </w:pPr>
      <w:r>
        <w:t xml:space="preserve">Predefined Function Definitions</w:t>
      </w:r>
    </w:p>
    <w:p>
      <w:pPr>
        <w:pStyle w:val="FirstParagraph"/>
      </w:pPr>
      <w:r>
        <w:t xml:space="preserve">In addition to the</w:t>
      </w:r>
      <w:r>
        <w:t xml:space="preserve"> </w:t>
      </w:r>
      <w:r>
        <w:t xml:space="preserve">user-defined function definitions</w:t>
      </w:r>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69"/>
    <w:bookmarkStart w:id="70"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0"/>
    <w:bookmarkStart w:id="71"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p>
      <w:pPr>
        <w:pStyle w:val="FirstParagraph"/>
      </w:pPr>
      <w:r>
        <w:t xml:space="preserve">An SBML reaction’s kinetic law can be annotated separately from the reaction</w:t>
      </w:r>
      <w:r>
        <w:t xml:space="preserve"> </w:t>
      </w:r>
      <w:r>
        <w:t xml:space="preserve">itself. We can also do this in Antimony by appending</w:t>
      </w:r>
      <w:r>
        <w:t xml:space="preserve"> </w:t>
      </w:r>
      <w:r>
        <w:t xml:space="preserve">‘.kineticLaw’</w:t>
      </w:r>
      <w:r>
        <w:t xml:space="preserve"> </w:t>
      </w:r>
      <w:r>
        <w:t xml:space="preserve">to</w:t>
      </w:r>
      <w:r>
        <w:t xml:space="preserve"> </w:t>
      </w:r>
      <w:r>
        <w:t xml:space="preserve">a reaction ID and setting the annotation there:</w:t>
      </w:r>
    </w:p>
    <w:p>
      <w:pPr>
        <w:pStyle w:val="SourceCode"/>
      </w:pPr>
      <w:r>
        <w:rPr>
          <w:rStyle w:val="VerbatimChar"/>
        </w:rPr>
        <w:t xml:space="preserve">J0.kineticLaw.sboTerm = 42</w:t>
      </w:r>
      <w:r>
        <w:br/>
      </w:r>
      <w:r>
        <w:rPr>
          <w:rStyle w:val="VerbatimChar"/>
        </w:rPr>
        <w:t xml:space="preserve">J0.kineticLaw identity "cvterm"</w:t>
      </w:r>
    </w:p>
    <w:bookmarkEnd w:id="71"/>
    <w:bookmarkStart w:id="76" w:name="flux-balance-constraints"/>
    <w:p>
      <w:pPr>
        <w:pStyle w:val="Heading3"/>
      </w:pPr>
      <w:r>
        <w:t xml:space="preserve">Flux Balance Constraints</w:t>
      </w:r>
    </w:p>
    <w:bookmarkStart w:id="72"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2"/>
    <w:bookmarkStart w:id="73"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3"/>
    <w:bookmarkStart w:id="74"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4"/>
    <w:bookmarkStart w:id="75"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5"/>
    <w:bookmarkEnd w:id="76"/>
    <w:bookmarkStart w:id="77"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7"/>
    <w:bookmarkStart w:id="79"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8">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79"/>
    <w:bookmarkEnd w:id="80"/>
    <w:bookmarkStart w:id="90"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1"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1"/>
    <w:bookmarkStart w:id="82"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2"/>
    <w:bookmarkStart w:id="83"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3"/>
    <w:bookmarkStart w:id="84"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4"/>
    <w:bookmarkStart w:id="85"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5"/>
    <w:bookmarkStart w:id="86"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6"/>
    <w:bookmarkStart w:id="87"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7"/>
    <w:bookmarkStart w:id="88"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05"/>
        </w:numPr>
      </w:pPr>
      <w:r>
        <w:t xml:space="preserve">[number]: a number</w:t>
      </w:r>
    </w:p>
    <w:p>
      <w:pPr>
        <w:pStyle w:val="Compact"/>
        <w:numPr>
          <w:ilvl w:val="0"/>
          <w:numId w:val="1005"/>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05"/>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05"/>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05"/>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8"/>
    <w:bookmarkStart w:id="89"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89"/>
    <w:bookmarkEnd w:id="90"/>
    <w:bookmarkStart w:id="91"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06"/>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06"/>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06"/>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06"/>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06"/>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06"/>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06"/>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06"/>
        </w:numPr>
      </w:pPr>
      <w:r>
        <w:t xml:space="preserve">DNA strands in Antimony disappear in SBML.</w:t>
      </w:r>
    </w:p>
    <w:p>
      <w:pPr>
        <w:pStyle w:val="Compact"/>
        <w:numPr>
          <w:ilvl w:val="0"/>
          <w:numId w:val="1006"/>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06"/>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06"/>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06"/>
        </w:numPr>
      </w:pPr>
      <w:r>
        <w:t xml:space="preserve">The MathML csymbol</w:t>
      </w:r>
      <w:r>
        <w:t xml:space="preserve"> </w:t>
      </w:r>
      <w:r>
        <w:t xml:space="preserve">‘delay’</w:t>
      </w:r>
      <w:r>
        <w:t xml:space="preserve"> </w:t>
      </w:r>
      <w:r>
        <w:t xml:space="preserve">in SBML disappears in Antimony.</w:t>
      </w:r>
    </w:p>
    <w:p>
      <w:pPr>
        <w:pStyle w:val="Compact"/>
        <w:numPr>
          <w:ilvl w:val="0"/>
          <w:numId w:val="1006"/>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07"/>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06"/>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1"/>
    <w:bookmarkStart w:id="94" w:name="further-reading"/>
    <w:p>
      <w:pPr>
        <w:pStyle w:val="Heading2"/>
      </w:pPr>
      <w:r>
        <w:t xml:space="preserve">Further Reading</w:t>
      </w:r>
    </w:p>
    <w:p>
      <w:pPr>
        <w:pStyle w:val="Compact"/>
        <w:numPr>
          <w:ilvl w:val="0"/>
          <w:numId w:val="1008"/>
        </w:numPr>
      </w:pPr>
      <w:r>
        <w:t xml:space="preserve">Lucian Smith’s</w:t>
      </w:r>
      <w:r>
        <w:t xml:space="preserve"> </w:t>
      </w:r>
      <w:hyperlink r:id="rId92">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3">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08"/>
        </w:numPr>
      </w:pPr>
      <w:r>
        <w:t xml:space="preserve">This manual</w:t>
      </w:r>
      <w:r>
        <w:t xml:space="preserve"> </w:t>
      </w:r>
      <w:r>
        <w:t xml:space="preserve">in</w:t>
      </w:r>
      <w:r>
        <w:t xml:space="preserve"> </w:t>
      </w:r>
      <w:r>
        <w:t xml:space="preserve">PDF format.</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78" Target="http://antimony.sourceforge.net/"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1" Target="http://tellurium.analogmachine.org/" TargetMode="External" /><Relationship Type="http://schemas.openxmlformats.org/officeDocument/2006/relationships/hyperlink" Id="rId9" Target="http://www.celldesigner.org/" TargetMode="External" /><Relationship Type="http://schemas.openxmlformats.org/officeDocument/2006/relationships/hyperlink" Id="rId92" Target="https://antimony.readthedocs.io/en/latest/antimony-examples.html" TargetMode="External" /><Relationship Type="http://schemas.openxmlformats.org/officeDocument/2006/relationships/hyperlink" Id="rId10" Target="https://github.com/BioModelTools/TemplateSB" TargetMode="External" /><Relationship Type="http://schemas.openxmlformats.org/officeDocument/2006/relationships/hyperlink" Id="rId21"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78" Target="http://antimony.sourceforge.net/" TargetMode="External" /><Relationship Type="http://schemas.openxmlformats.org/officeDocument/2006/relationships/hyperlink" Id="rId65" Target="http://sbml.org/Documents/Specifications#SBML_Level_3_Version_1_Core" TargetMode="External" /><Relationship Type="http://schemas.openxmlformats.org/officeDocument/2006/relationships/hyperlink" Id="rId93" Target="http://sbml.org/Documents/Specifications/SBML_Level_3/Packages/comp" TargetMode="External" /><Relationship Type="http://schemas.openxmlformats.org/officeDocument/2006/relationships/hyperlink" Id="rId11" Target="http://tellurium.analogmachine.org/" TargetMode="External" /><Relationship Type="http://schemas.openxmlformats.org/officeDocument/2006/relationships/hyperlink" Id="rId9" Target="http://www.celldesigner.org/" TargetMode="External" /><Relationship Type="http://schemas.openxmlformats.org/officeDocument/2006/relationships/hyperlink" Id="rId92" Target="https://antimony.readthedocs.io/en/latest/antimony-examples.html" TargetMode="External" /><Relationship Type="http://schemas.openxmlformats.org/officeDocument/2006/relationships/hyperlink" Id="rId10" Target="https://github.com/BioModelTools/TemplateSB" TargetMode="External" /><Relationship Type="http://schemas.openxmlformats.org/officeDocument/2006/relationships/hyperlink" Id="rId21"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2026-08-27T23:15:25Z</dcterms:created>
  <dcterms:modified xsi:type="dcterms:W3CDTF">2026-08-27T23:15:25Z</dcterms:modified>
</cp:coreProperties>
</file>

<file path=docProps/custom.xml><?xml version="1.0" encoding="utf-8"?>
<Properties xmlns="http://schemas.openxmlformats.org/officeDocument/2006/custom-properties" xmlns:vt="http://schemas.openxmlformats.org/officeDocument/2006/docPropsVTypes"/>
</file>