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antimony-reference"/>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9" w:name="table-of-contents"/>
    <w:p>
      <w:pPr>
        <w:pStyle w:val="Heading2"/>
      </w:pPr>
      <w:r>
        <w:t xml:space="preserve">Table of contents</w:t>
      </w:r>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change-log">
        <w:r>
          <w:rPr>
            <w:rStyle w:val="Hyperlink"/>
          </w:rPr>
          <w:t xml:space="preserve">Change Log</w:t>
        </w:r>
      </w:hyperlink>
    </w:p>
    <w:p>
      <w:pPr>
        <w:pStyle w:val="Compact"/>
        <w:numPr>
          <w:ilvl w:val="0"/>
          <w:numId w:val="1001"/>
        </w:numPr>
      </w:pPr>
      <w:hyperlink w:anchor="introduction-and-basics">
        <w:r>
          <w:rPr>
            <w:rStyle w:val="Hyperlink"/>
          </w:rPr>
          <w:t xml:space="preserve">Introduction</w:t>
        </w:r>
      </w:hyperlink>
    </w:p>
    <w:p>
      <w:pPr>
        <w:pStyle w:val="Compact"/>
        <w:numPr>
          <w:ilvl w:val="0"/>
          <w:numId w:val="1001"/>
        </w:numPr>
      </w:pPr>
      <w:hyperlink w:anchor="model-elements">
        <w:r>
          <w:rPr>
            <w:rStyle w:val="Hyperlink"/>
          </w:rPr>
          <w:t xml:space="preserve">Model Elements</w:t>
        </w:r>
      </w:hyperlink>
    </w:p>
    <w:p>
      <w:pPr>
        <w:pStyle w:val="Compact"/>
        <w:numPr>
          <w:ilvl w:val="1"/>
          <w:numId w:val="1002"/>
        </w:numPr>
      </w:pPr>
      <w:hyperlink w:anchor="comments">
        <w:r>
          <w:rPr>
            <w:rStyle w:val="Hyperlink"/>
          </w:rPr>
          <w:t xml:space="preserve">Comments</w:t>
        </w:r>
      </w:hyperlink>
    </w:p>
    <w:p>
      <w:pPr>
        <w:pStyle w:val="Compact"/>
        <w:numPr>
          <w:ilvl w:val="1"/>
          <w:numId w:val="1002"/>
        </w:numPr>
      </w:pPr>
      <w:hyperlink w:anchor="reactions">
        <w:r>
          <w:rPr>
            <w:rStyle w:val="Hyperlink"/>
          </w:rPr>
          <w:t xml:space="preserve">Reactions</w:t>
        </w:r>
      </w:hyperlink>
    </w:p>
    <w:p>
      <w:pPr>
        <w:pStyle w:val="Compact"/>
        <w:numPr>
          <w:ilvl w:val="1"/>
          <w:numId w:val="1002"/>
        </w:numPr>
      </w:pPr>
      <w:hyperlink w:anchor="rate-laws-and-initializing-values">
        <w:r>
          <w:rPr>
            <w:rStyle w:val="Hyperlink"/>
          </w:rPr>
          <w:t xml:space="preserve">Rate Laws and Initializing Values</w:t>
        </w:r>
      </w:hyperlink>
    </w:p>
    <w:p>
      <w:pPr>
        <w:pStyle w:val="Compact"/>
        <w:numPr>
          <w:ilvl w:val="1"/>
          <w:numId w:val="1002"/>
        </w:numPr>
      </w:pPr>
      <w:hyperlink w:anchor="defining-basic-elements">
        <w:r>
          <w:rPr>
            <w:rStyle w:val="Hyperlink"/>
          </w:rPr>
          <w:t xml:space="preserve">Defining basic elements</w:t>
        </w:r>
      </w:hyperlink>
    </w:p>
    <w:p>
      <w:pPr>
        <w:pStyle w:val="Compact"/>
        <w:numPr>
          <w:ilvl w:val="1"/>
          <w:numId w:val="1002"/>
        </w:numPr>
      </w:pPr>
      <w:hyperlink w:anchor="boundary-species">
        <w:r>
          <w:rPr>
            <w:rStyle w:val="Hyperlink"/>
          </w:rPr>
          <w:t xml:space="preserve">Boundary Species</w:t>
        </w:r>
      </w:hyperlink>
    </w:p>
    <w:p>
      <w:pPr>
        <w:pStyle w:val="Compact"/>
        <w:numPr>
          <w:ilvl w:val="1"/>
          <w:numId w:val="1002"/>
        </w:numPr>
      </w:pPr>
      <w:hyperlink w:anchor="compartments">
        <w:r>
          <w:rPr>
            <w:rStyle w:val="Hyperlink"/>
          </w:rPr>
          <w:t xml:space="preserve">Compartments</w:t>
        </w:r>
      </w:hyperlink>
    </w:p>
    <w:p>
      <w:pPr>
        <w:pStyle w:val="Compact"/>
        <w:numPr>
          <w:ilvl w:val="1"/>
          <w:numId w:val="1002"/>
        </w:numPr>
      </w:pPr>
      <w:hyperlink w:anchor="assignments">
        <w:r>
          <w:rPr>
            <w:rStyle w:val="Hyperlink"/>
          </w:rPr>
          <w:t xml:space="preserve">Assignments</w:t>
        </w:r>
      </w:hyperlink>
    </w:p>
    <w:p>
      <w:pPr>
        <w:pStyle w:val="Compact"/>
        <w:numPr>
          <w:ilvl w:val="2"/>
          <w:numId w:val="1003"/>
        </w:numPr>
      </w:pPr>
      <w:hyperlink w:anchor="assignments-in-time">
        <w:r>
          <w:rPr>
            <w:rStyle w:val="Hyperlink"/>
          </w:rPr>
          <w:t xml:space="preserve">Assignments in Time</w:t>
        </w:r>
      </w:hyperlink>
    </w:p>
    <w:p>
      <w:pPr>
        <w:pStyle w:val="Compact"/>
        <w:numPr>
          <w:ilvl w:val="2"/>
          <w:numId w:val="1003"/>
        </w:numPr>
      </w:pPr>
      <w:hyperlink w:anchor="piecewise-assignments">
        <w:r>
          <w:rPr>
            <w:rStyle w:val="Hyperlink"/>
          </w:rPr>
          <w:t xml:space="preserve">Piecewise Assignments</w:t>
        </w:r>
      </w:hyperlink>
    </w:p>
    <w:p>
      <w:pPr>
        <w:pStyle w:val="Compact"/>
        <w:numPr>
          <w:ilvl w:val="1"/>
          <w:numId w:val="1002"/>
        </w:numPr>
      </w:pPr>
      <w:hyperlink w:anchor="events-basic">
        <w:r>
          <w:rPr>
            <w:rStyle w:val="Hyperlink"/>
          </w:rPr>
          <w:t xml:space="preserve">Events</w:t>
        </w:r>
      </w:hyperlink>
    </w:p>
    <w:p>
      <w:pPr>
        <w:pStyle w:val="Compact"/>
        <w:numPr>
          <w:ilvl w:val="1"/>
          <w:numId w:val="1002"/>
        </w:numPr>
      </w:pPr>
      <w:hyperlink w:anchor="function-definitions">
        <w:r>
          <w:rPr>
            <w:rStyle w:val="Hyperlink"/>
          </w:rPr>
          <w:t xml:space="preserve">Function Definitions</w:t>
        </w:r>
      </w:hyperlink>
    </w:p>
    <w:p>
      <w:pPr>
        <w:pStyle w:val="Compact"/>
        <w:numPr>
          <w:ilvl w:val="1"/>
          <w:numId w:val="1002"/>
        </w:numPr>
      </w:pPr>
      <w:hyperlink w:anchor="annotation">
        <w:r>
          <w:rPr>
            <w:rStyle w:val="Hyperlink"/>
          </w:rPr>
          <w:t xml:space="preserve">Annotation</w:t>
        </w:r>
      </w:hyperlink>
    </w:p>
    <w:p>
      <w:pPr>
        <w:pStyle w:val="Compact"/>
        <w:numPr>
          <w:ilvl w:val="1"/>
          <w:numId w:val="1002"/>
        </w:numPr>
      </w:pPr>
      <w:hyperlink w:anchor="modular-models">
        <w:r>
          <w:rPr>
            <w:rStyle w:val="Hyperlink"/>
          </w:rPr>
          <w:t xml:space="preserve">Modular Models</w:t>
        </w:r>
      </w:hyperlink>
    </w:p>
    <w:p>
      <w:pPr>
        <w:pStyle w:val="Compact"/>
        <w:numPr>
          <w:ilvl w:val="1"/>
          <w:numId w:val="1002"/>
        </w:numPr>
      </w:pPr>
      <w:hyperlink w:anchor="importing-files">
        <w:r>
          <w:rPr>
            <w:rStyle w:val="Hyperlink"/>
          </w:rPr>
          <w:t xml:space="preserve">Importing Files</w:t>
        </w:r>
      </w:hyperlink>
    </w:p>
    <w:p>
      <w:pPr>
        <w:pStyle w:val="Compact"/>
        <w:numPr>
          <w:ilvl w:val="0"/>
          <w:numId w:val="1001"/>
        </w:numPr>
      </w:pPr>
      <w:hyperlink w:anchor="signals">
        <w:r>
          <w:rPr>
            <w:rStyle w:val="Hyperlink"/>
          </w:rPr>
          <w:t xml:space="preserve">Signals</w:t>
        </w:r>
      </w:hyperlink>
    </w:p>
    <w:p>
      <w:pPr>
        <w:pStyle w:val="Compact"/>
        <w:numPr>
          <w:ilvl w:val="1"/>
          <w:numId w:val="1004"/>
        </w:numPr>
      </w:pPr>
      <w:hyperlink w:anchor="step-input">
        <w:r>
          <w:rPr>
            <w:rStyle w:val="Hyperlink"/>
          </w:rPr>
          <w:t xml:space="preserve">Step input</w:t>
        </w:r>
      </w:hyperlink>
    </w:p>
    <w:p>
      <w:pPr>
        <w:pStyle w:val="Compact"/>
        <w:numPr>
          <w:ilvl w:val="1"/>
          <w:numId w:val="1004"/>
        </w:numPr>
      </w:pPr>
      <w:hyperlink w:anchor="ramp">
        <w:r>
          <w:rPr>
            <w:rStyle w:val="Hyperlink"/>
          </w:rPr>
          <w:t xml:space="preserve">Ramp</w:t>
        </w:r>
      </w:hyperlink>
    </w:p>
    <w:p>
      <w:pPr>
        <w:pStyle w:val="Compact"/>
        <w:numPr>
          <w:ilvl w:val="1"/>
          <w:numId w:val="1004"/>
        </w:numPr>
      </w:pPr>
      <w:hyperlink w:anchor="ramp-then-stop">
        <w:r>
          <w:rPr>
            <w:rStyle w:val="Hyperlink"/>
          </w:rPr>
          <w:t xml:space="preserve">Ramp then stop</w:t>
        </w:r>
      </w:hyperlink>
    </w:p>
    <w:p>
      <w:pPr>
        <w:pStyle w:val="Compact"/>
        <w:numPr>
          <w:ilvl w:val="1"/>
          <w:numId w:val="1004"/>
        </w:numPr>
      </w:pPr>
      <w:hyperlink w:anchor="pulse">
        <w:r>
          <w:rPr>
            <w:rStyle w:val="Hyperlink"/>
          </w:rPr>
          <w:t xml:space="preserve">Pulse</w:t>
        </w:r>
      </w:hyperlink>
    </w:p>
    <w:p>
      <w:pPr>
        <w:pStyle w:val="Compact"/>
        <w:numPr>
          <w:ilvl w:val="1"/>
          <w:numId w:val="1004"/>
        </w:numPr>
      </w:pPr>
      <w:hyperlink w:anchor="sinusoidal-input">
        <w:r>
          <w:rPr>
            <w:rStyle w:val="Hyperlink"/>
          </w:rPr>
          <w:t xml:space="preserve">Sinusoidal input</w:t>
        </w:r>
      </w:hyperlink>
    </w:p>
    <w:p>
      <w:pPr>
        <w:pStyle w:val="Compact"/>
        <w:numPr>
          <w:ilvl w:val="0"/>
          <w:numId w:val="1001"/>
        </w:numPr>
      </w:pPr>
      <w:hyperlink w:anchor="language-reference">
        <w:r>
          <w:rPr>
            <w:rStyle w:val="Hyperlink"/>
          </w:rPr>
          <w:t xml:space="preserve">Language Reference</w:t>
        </w:r>
      </w:hyperlink>
    </w:p>
    <w:p>
      <w:pPr>
        <w:pStyle w:val="Compact"/>
        <w:numPr>
          <w:ilvl w:val="1"/>
          <w:numId w:val="1005"/>
        </w:numPr>
      </w:pPr>
      <w:hyperlink w:anchor="species-and-reactions">
        <w:r>
          <w:rPr>
            <w:rStyle w:val="Hyperlink"/>
          </w:rPr>
          <w:t xml:space="preserve">Species and Reactions</w:t>
        </w:r>
      </w:hyperlink>
    </w:p>
    <w:p>
      <w:pPr>
        <w:pStyle w:val="Compact"/>
        <w:numPr>
          <w:ilvl w:val="2"/>
          <w:numId w:val="1006"/>
        </w:numPr>
      </w:pPr>
      <w:hyperlink w:anchor="substance-only-species">
        <w:r>
          <w:rPr>
            <w:rStyle w:val="Hyperlink"/>
          </w:rPr>
          <w:t xml:space="preserve">Substance-only species</w:t>
        </w:r>
      </w:hyperlink>
    </w:p>
    <w:p>
      <w:pPr>
        <w:pStyle w:val="Compact"/>
        <w:numPr>
          <w:ilvl w:val="1"/>
          <w:numId w:val="1005"/>
        </w:numPr>
      </w:pPr>
      <w:hyperlink w:anchor="modules">
        <w:r>
          <w:rPr>
            <w:rStyle w:val="Hyperlink"/>
          </w:rPr>
          <w:t xml:space="preserve">Modules</w:t>
        </w:r>
      </w:hyperlink>
    </w:p>
    <w:p>
      <w:pPr>
        <w:pStyle w:val="Compact"/>
        <w:numPr>
          <w:ilvl w:val="2"/>
          <w:numId w:val="1007"/>
        </w:numPr>
      </w:pPr>
      <w:hyperlink w:anchor="module-conversion-factors">
        <w:r>
          <w:rPr>
            <w:rStyle w:val="Hyperlink"/>
          </w:rPr>
          <w:t xml:space="preserve">Module conversion factors</w:t>
        </w:r>
      </w:hyperlink>
    </w:p>
    <w:p>
      <w:pPr>
        <w:pStyle w:val="Compact"/>
        <w:numPr>
          <w:ilvl w:val="2"/>
          <w:numId w:val="1007"/>
        </w:numPr>
      </w:pPr>
      <w:hyperlink w:anchor="submodel-deletions">
        <w:r>
          <w:rPr>
            <w:rStyle w:val="Hyperlink"/>
          </w:rPr>
          <w:t xml:space="preserve">Submodel deletions</w:t>
        </w:r>
      </w:hyperlink>
    </w:p>
    <w:p>
      <w:pPr>
        <w:pStyle w:val="Compact"/>
        <w:numPr>
          <w:ilvl w:val="1"/>
          <w:numId w:val="1005"/>
        </w:numPr>
      </w:pPr>
      <w:hyperlink w:anchor="constant-and-variable-symbols">
        <w:r>
          <w:rPr>
            <w:rStyle w:val="Hyperlink"/>
          </w:rPr>
          <w:t xml:space="preserve">Constant and variable symbols</w:t>
        </w:r>
      </w:hyperlink>
    </w:p>
    <w:p>
      <w:pPr>
        <w:pStyle w:val="Compact"/>
        <w:numPr>
          <w:ilvl w:val="1"/>
          <w:numId w:val="1005"/>
        </w:numPr>
      </w:pPr>
      <w:hyperlink w:anchor="compartments">
        <w:r>
          <w:rPr>
            <w:rStyle w:val="Hyperlink"/>
          </w:rPr>
          <w:t xml:space="preserve">Compartments</w:t>
        </w:r>
      </w:hyperlink>
    </w:p>
    <w:p>
      <w:pPr>
        <w:pStyle w:val="Compact"/>
        <w:numPr>
          <w:ilvl w:val="1"/>
          <w:numId w:val="1005"/>
        </w:numPr>
      </w:pPr>
      <w:hyperlink w:anchor="events">
        <w:r>
          <w:rPr>
            <w:rStyle w:val="Hyperlink"/>
          </w:rPr>
          <w:t xml:space="preserve">Events</w:t>
        </w:r>
      </w:hyperlink>
    </w:p>
    <w:p>
      <w:pPr>
        <w:pStyle w:val="Compact"/>
        <w:numPr>
          <w:ilvl w:val="1"/>
          <w:numId w:val="1005"/>
        </w:numPr>
      </w:pPr>
      <w:hyperlink w:anchor="assignment-rules">
        <w:r>
          <w:rPr>
            <w:rStyle w:val="Hyperlink"/>
          </w:rPr>
          <w:t xml:space="preserve">Assignment Rules</w:t>
        </w:r>
      </w:hyperlink>
    </w:p>
    <w:p>
      <w:pPr>
        <w:pStyle w:val="Compact"/>
        <w:numPr>
          <w:ilvl w:val="1"/>
          <w:numId w:val="1005"/>
        </w:numPr>
      </w:pPr>
      <w:hyperlink w:anchor="rate-rules">
        <w:r>
          <w:rPr>
            <w:rStyle w:val="Hyperlink"/>
          </w:rPr>
          <w:t xml:space="preserve">Rate Rules</w:t>
        </w:r>
      </w:hyperlink>
    </w:p>
    <w:p>
      <w:pPr>
        <w:pStyle w:val="Compact"/>
        <w:numPr>
          <w:ilvl w:val="1"/>
          <w:numId w:val="1005"/>
        </w:numPr>
      </w:pPr>
      <w:hyperlink w:anchor="display-names">
        <w:r>
          <w:rPr>
            <w:rStyle w:val="Hyperlink"/>
          </w:rPr>
          <w:t xml:space="preserve">Display Names</w:t>
        </w:r>
      </w:hyperlink>
    </w:p>
    <w:p>
      <w:pPr>
        <w:pStyle w:val="Compact"/>
        <w:numPr>
          <w:ilvl w:val="1"/>
          <w:numId w:val="1005"/>
        </w:numPr>
      </w:pPr>
      <w:hyperlink w:anchor="units">
        <w:r>
          <w:rPr>
            <w:rStyle w:val="Hyperlink"/>
          </w:rPr>
          <w:t xml:space="preserve">Units</w:t>
        </w:r>
      </w:hyperlink>
    </w:p>
    <w:p>
      <w:pPr>
        <w:pStyle w:val="Compact"/>
        <w:numPr>
          <w:ilvl w:val="1"/>
          <w:numId w:val="1005"/>
        </w:numPr>
      </w:pPr>
      <w:hyperlink w:anchor="dna-strands">
        <w:r>
          <w:rPr>
            <w:rStyle w:val="Hyperlink"/>
          </w:rPr>
          <w:t xml:space="preserve">DNA Strands</w:t>
        </w:r>
      </w:hyperlink>
    </w:p>
    <w:p>
      <w:pPr>
        <w:pStyle w:val="Compact"/>
        <w:numPr>
          <w:ilvl w:val="1"/>
          <w:numId w:val="1005"/>
        </w:numPr>
      </w:pPr>
      <w:hyperlink w:anchor="interactions">
        <w:r>
          <w:rPr>
            <w:rStyle w:val="Hyperlink"/>
          </w:rPr>
          <w:t xml:space="preserve">Interactions</w:t>
        </w:r>
      </w:hyperlink>
    </w:p>
    <w:p>
      <w:pPr>
        <w:pStyle w:val="Compact"/>
        <w:numPr>
          <w:ilvl w:val="1"/>
          <w:numId w:val="1005"/>
        </w:numPr>
      </w:pPr>
      <w:hyperlink w:anchor="predefined-function-definitions">
        <w:r>
          <w:rPr>
            <w:rStyle w:val="Hyperlink"/>
          </w:rPr>
          <w:t xml:space="preserve">Predefined Function Definitions</w:t>
        </w:r>
      </w:hyperlink>
    </w:p>
    <w:p>
      <w:pPr>
        <w:pStyle w:val="Compact"/>
        <w:numPr>
          <w:ilvl w:val="1"/>
          <w:numId w:val="1005"/>
        </w:numPr>
      </w:pPr>
      <w:hyperlink w:anchor="uncertainty-information">
        <w:r>
          <w:rPr>
            <w:rStyle w:val="Hyperlink"/>
          </w:rPr>
          <w:t xml:space="preserve">Uncertainty Information</w:t>
        </w:r>
      </w:hyperlink>
    </w:p>
    <w:p>
      <w:pPr>
        <w:pStyle w:val="Compact"/>
        <w:numPr>
          <w:ilvl w:val="1"/>
          <w:numId w:val="1005"/>
        </w:numPr>
      </w:pPr>
      <w:hyperlink w:anchor="sbo-and-cvterms">
        <w:r>
          <w:rPr>
            <w:rStyle w:val="Hyperlink"/>
          </w:rPr>
          <w:t xml:space="preserve">SBO and CVTerms</w:t>
        </w:r>
      </w:hyperlink>
    </w:p>
    <w:p>
      <w:pPr>
        <w:pStyle w:val="Compact"/>
        <w:numPr>
          <w:ilvl w:val="1"/>
          <w:numId w:val="1005"/>
        </w:numPr>
      </w:pPr>
      <w:hyperlink w:anchor="flux-balance-constraints">
        <w:r>
          <w:rPr>
            <w:rStyle w:val="Hyperlink"/>
          </w:rPr>
          <w:t xml:space="preserve">Flux Balance Constraints</w:t>
        </w:r>
      </w:hyperlink>
    </w:p>
    <w:p>
      <w:pPr>
        <w:pStyle w:val="Compact"/>
        <w:numPr>
          <w:ilvl w:val="1"/>
          <w:numId w:val="1005"/>
        </w:numPr>
      </w:pPr>
      <w:hyperlink w:anchor="other-files">
        <w:r>
          <w:rPr>
            <w:rStyle w:val="Hyperlink"/>
          </w:rPr>
          <w:t xml:space="preserve">Other files</w:t>
        </w:r>
      </w:hyperlink>
    </w:p>
    <w:p>
      <w:pPr>
        <w:pStyle w:val="Compact"/>
        <w:numPr>
          <w:ilvl w:val="1"/>
          <w:numId w:val="1005"/>
        </w:numPr>
      </w:pPr>
      <w:hyperlink w:anchor="importing-and-exporting-antimony-models">
        <w:r>
          <w:rPr>
            <w:rStyle w:val="Hyperlink"/>
          </w:rPr>
          <w:t xml:space="preserve">Importing and Exporting Antimony Models</w:t>
        </w:r>
      </w:hyperlink>
    </w:p>
    <w:p>
      <w:pPr>
        <w:pStyle w:val="Compact"/>
        <w:numPr>
          <w:ilvl w:val="0"/>
          <w:numId w:val="1001"/>
        </w:numPr>
      </w:pPr>
      <w:hyperlink w:anchor="layout-and-render">
        <w:r>
          <w:rPr>
            <w:rStyle w:val="Hyperlink"/>
          </w:rPr>
          <w:t xml:space="preserve">Layout and Render</w:t>
        </w:r>
      </w:hyperlink>
    </w:p>
    <w:p>
      <w:pPr>
        <w:pStyle w:val="Compact"/>
        <w:numPr>
          <w:ilvl w:val="1"/>
          <w:numId w:val="1008"/>
        </w:numPr>
      </w:pPr>
      <w:hyperlink w:anchor="basic-layout-information">
        <w:r>
          <w:rPr>
            <w:rStyle w:val="Hyperlink"/>
          </w:rPr>
          <w:t xml:space="preserve">Basic layout information</w:t>
        </w:r>
      </w:hyperlink>
    </w:p>
    <w:p>
      <w:pPr>
        <w:pStyle w:val="Compact"/>
        <w:numPr>
          <w:ilvl w:val="1"/>
          <w:numId w:val="1008"/>
        </w:numPr>
      </w:pPr>
      <w:hyperlink w:anchor="positioning-model-elements">
        <w:r>
          <w:rPr>
            <w:rStyle w:val="Hyperlink"/>
          </w:rPr>
          <w:t xml:space="preserve">Positioning model elements</w:t>
        </w:r>
      </w:hyperlink>
    </w:p>
    <w:p>
      <w:pPr>
        <w:pStyle w:val="Compact"/>
        <w:numPr>
          <w:ilvl w:val="1"/>
          <w:numId w:val="1008"/>
        </w:numPr>
      </w:pPr>
      <w:hyperlink w:anchor="sizing-model-elements">
        <w:r>
          <w:rPr>
            <w:rStyle w:val="Hyperlink"/>
          </w:rPr>
          <w:t xml:space="preserve">Sizing model elements</w:t>
        </w:r>
      </w:hyperlink>
    </w:p>
    <w:p>
      <w:pPr>
        <w:pStyle w:val="Compact"/>
        <w:numPr>
          <w:ilvl w:val="1"/>
          <w:numId w:val="1008"/>
        </w:numPr>
      </w:pPr>
      <w:hyperlink w:anchor="reaction-arcs">
        <w:r>
          <w:rPr>
            <w:rStyle w:val="Hyperlink"/>
          </w:rPr>
          <w:t xml:space="preserve">Reaction arcs</w:t>
        </w:r>
      </w:hyperlink>
    </w:p>
    <w:p>
      <w:pPr>
        <w:pStyle w:val="Compact"/>
        <w:numPr>
          <w:ilvl w:val="1"/>
          <w:numId w:val="1008"/>
        </w:numPr>
      </w:pPr>
      <w:hyperlink w:anchor="reaction-source-or-sinks">
        <w:r>
          <w:rPr>
            <w:rStyle w:val="Hyperlink"/>
          </w:rPr>
          <w:t xml:space="preserve">Reaction source or sinks</w:t>
        </w:r>
      </w:hyperlink>
    </w:p>
    <w:p>
      <w:pPr>
        <w:pStyle w:val="Compact"/>
        <w:numPr>
          <w:ilvl w:val="1"/>
          <w:numId w:val="1008"/>
        </w:numPr>
      </w:pPr>
      <w:hyperlink w:anchor="species-alias-nodes">
        <w:r>
          <w:rPr>
            <w:rStyle w:val="Hyperlink"/>
          </w:rPr>
          <w:t xml:space="preserve">Species alias nodes</w:t>
        </w:r>
      </w:hyperlink>
    </w:p>
    <w:p>
      <w:pPr>
        <w:pStyle w:val="Compact"/>
        <w:numPr>
          <w:ilvl w:val="1"/>
          <w:numId w:val="1008"/>
        </w:numPr>
      </w:pPr>
      <w:hyperlink w:anchor="general-styles">
        <w:r>
          <w:rPr>
            <w:rStyle w:val="Hyperlink"/>
          </w:rPr>
          <w:t xml:space="preserve">General styles</w:t>
        </w:r>
      </w:hyperlink>
    </w:p>
    <w:p>
      <w:pPr>
        <w:pStyle w:val="Compact"/>
        <w:numPr>
          <w:ilvl w:val="1"/>
          <w:numId w:val="1008"/>
        </w:numPr>
      </w:pPr>
      <w:hyperlink w:anchor="style-settings">
        <w:r>
          <w:rPr>
            <w:rStyle w:val="Hyperlink"/>
          </w:rPr>
          <w:t xml:space="preserve">Style settings</w:t>
        </w:r>
      </w:hyperlink>
    </w:p>
    <w:p>
      <w:pPr>
        <w:pStyle w:val="Compact"/>
        <w:numPr>
          <w:ilvl w:val="0"/>
          <w:numId w:val="1001"/>
        </w:numPr>
      </w:pPr>
      <w:hyperlink w:anchor="Xccd004f780dfc5c78c7be0d66e6d54c5c625bb3">
        <w:r>
          <w:rPr>
            <w:rStyle w:val="Hyperlink"/>
          </w:rPr>
          <w:t xml:space="preserve">Appendix: Converting between SBML and Antimony</w:t>
        </w:r>
      </w:hyperlink>
    </w:p>
    <w:p>
      <w:pPr>
        <w:pStyle w:val="Compact"/>
        <w:numPr>
          <w:ilvl w:val="0"/>
          <w:numId w:val="1001"/>
        </w:numPr>
      </w:pPr>
      <w:hyperlink w:anchor="further-reading">
        <w:r>
          <w:rPr>
            <w:rStyle w:val="Hyperlink"/>
          </w:rPr>
          <w:t xml:space="preserve">Further reading</w:t>
        </w:r>
      </w:hyperlink>
    </w:p>
    <w:bookmarkEnd w:id="9"/>
    <w:bookmarkStart w:id="13"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10">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1">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2">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9"/>
        </w:numPr>
      </w:pPr>
      <w:r>
        <w:t xml:space="preserve">Easily define species, reactions, compartments, events, and other</w:t>
      </w:r>
      <w:r>
        <w:t xml:space="preserve"> </w:t>
      </w:r>
      <w:r>
        <w:t xml:space="preserve">elements of a biological model.</w:t>
      </w:r>
    </w:p>
    <w:p>
      <w:pPr>
        <w:pStyle w:val="Compact"/>
        <w:numPr>
          <w:ilvl w:val="0"/>
          <w:numId w:val="1009"/>
        </w:numPr>
      </w:pPr>
      <w:r>
        <w:t xml:space="preserve">Package and re-use models as modules with defined or implied</w:t>
      </w:r>
      <w:r>
        <w:t xml:space="preserve"> </w:t>
      </w:r>
      <w:r>
        <w:t xml:space="preserve">interfaces.</w:t>
      </w:r>
    </w:p>
    <w:bookmarkEnd w:id="13"/>
    <w:bookmarkStart w:id="14" w:name="change-log"/>
    <w:p>
      <w:pPr>
        <w:pStyle w:val="Heading2"/>
      </w:pPr>
      <w:r>
        <w:t xml:space="preserve">Change Log</w:t>
      </w:r>
    </w:p>
    <w:p>
      <w:pPr>
        <w:pStyle w:val="FirstParagraph"/>
      </w:pPr>
      <w:r>
        <w:t xml:space="preserve">The 3.1 release changed FBC support to version 3 of that package, changing</w:t>
      </w:r>
      <w:r>
        <w:t xml:space="preserve"> </w:t>
      </w:r>
      <w:r>
        <w:t xml:space="preserve">how FBC constraints were translated to SBML (but not changing how they</w:t>
      </w:r>
      <w:r>
        <w:t xml:space="preserve"> </w:t>
      </w:r>
      <w:r>
        <w:t xml:space="preserve">were declared in Antimony), and adding support for gene products, gene</w:t>
      </w:r>
      <w:r>
        <w:t xml:space="preserve"> </w:t>
      </w:r>
      <w:r>
        <w:t xml:space="preserve">product associations, species charges, and species chemical formulas.</w:t>
      </w:r>
    </w:p>
    <w:p>
      <w:pPr>
        <w:pStyle w:val="BodyText"/>
      </w:pPr>
      <w:r>
        <w:t xml:space="preserve">In addition,</w:t>
      </w:r>
      <w:r>
        <w:t xml:space="preserve"> </w:t>
      </w:r>
      <w:r>
        <w:t xml:space="preserve">‘substanceOnly’</w:t>
      </w:r>
      <w:r>
        <w:t xml:space="preserve"> </w:t>
      </w:r>
      <w:r>
        <w:t xml:space="preserve">species are now initialized to their SBML</w:t>
      </w:r>
      <w:r>
        <w:t xml:space="preserve"> </w:t>
      </w:r>
      <w:r>
        <w:t xml:space="preserve">‘initialAmount’</w:t>
      </w:r>
      <w:r>
        <w:t xml:space="preserve">, so as to always have substance units.</w:t>
      </w:r>
    </w:p>
    <w:p>
      <w:pPr>
        <w:pStyle w:val="BodyText"/>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4"/>
    <w:bookmarkStart w:id="15"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5"/>
    <w:bookmarkStart w:id="31" w:name="model-elements"/>
    <w:p>
      <w:pPr>
        <w:pStyle w:val="Heading2"/>
      </w:pPr>
      <w:r>
        <w:t xml:space="preserve">Model Elements</w:t>
      </w:r>
    </w:p>
    <w:bookmarkStart w:id="16"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6"/>
    <w:bookmarkStart w:id="17"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7"/>
    <w:bookmarkStart w:id="18"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8"/>
    <w:bookmarkStart w:id="19"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9"/>
    <w:bookmarkStart w:id="20"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10"/>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11"/>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0"/>
    <w:bookmarkStart w:id="21"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k1*S1*mitochondria</w:t>
      </w:r>
      <w:r>
        <w:br/>
      </w:r>
      <w:r>
        <w:rPr>
          <w:rStyle w:val="VerbatimChar"/>
        </w:rPr>
        <w:t xml:space="preserve">  S2 -&gt; S3; k2*S2*cytoplasm</w:t>
      </w:r>
      <w:r>
        <w:br/>
      </w:r>
      <w:r>
        <w:rPr>
          <w:rStyle w:val="VerbatimChar"/>
        </w:rPr>
        <w:t xml:space="preserve">  S3 -&gt; S4; k3*S3*cytoplasm</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FirstParagraph"/>
      </w:pPr>
      <w:r>
        <w:t xml:space="preserve">Note that reaction rates must be in units of amount/time, so since species are expressed in terms of concentration by default, they should be multiplied by their compartment volumes to make the units work out.</w:t>
      </w:r>
    </w:p>
    <w:bookmarkEnd w:id="21"/>
    <w:bookmarkStart w:id="25"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3"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2">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3"/>
    <w:bookmarkStart w:id="24"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4"/>
    <w:bookmarkEnd w:id="25"/>
    <w:bookmarkStart w:id="26"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hyperlink w:anchor="events">
        <w:r>
          <w:rPr>
            <w:rStyle w:val="Hyperlink"/>
          </w:rPr>
          <w:t xml:space="preserve">below</w:t>
        </w:r>
      </w:hyperlink>
      <w:r>
        <w:t xml:space="preserve">.</w:t>
      </w:r>
    </w:p>
    <w:bookmarkEnd w:id="26"/>
    <w:bookmarkStart w:id="27"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7"/>
    <w:bookmarkStart w:id="28"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hyperlink w:anchor="sbo-and-cvterms">
        <w:r>
          <w:rPr>
            <w:rStyle w:val="Hyperlink"/>
          </w:rPr>
          <w:t xml:space="preserve">full list</w:t>
        </w:r>
      </w:hyperlink>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8"/>
    <w:bookmarkStart w:id="29"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hyperlink w:anchor="modules">
        <w:r>
          <w:rPr>
            <w:rStyle w:val="Hyperlink"/>
          </w:rPr>
          <w:t xml:space="preserve">below</w:t>
        </w:r>
      </w:hyperlink>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9"/>
    <w:bookmarkStart w:id="30"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30"/>
    <w:bookmarkEnd w:id="31"/>
    <w:bookmarkStart w:id="52" w:name="signals"/>
    <w:p>
      <w:pPr>
        <w:pStyle w:val="Heading2"/>
      </w:pPr>
      <w:r>
        <w:t xml:space="preserve">Signals</w:t>
      </w:r>
    </w:p>
    <w:p>
      <w:pPr>
        <w:pStyle w:val="FirstParagraph"/>
      </w:pPr>
      <w:r>
        <w:t xml:space="preserve">Signals can be generated by combining assignment rules with events.</w:t>
      </w:r>
    </w:p>
    <w:bookmarkStart w:id="35"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3" name="Picture"/>
            <a:graphic>
              <a:graphicData uri="http://schemas.openxmlformats.org/drawingml/2006/picture">
                <pic:pic>
                  <pic:nvPicPr>
                    <pic:cNvPr descr="images/antimony_0.png" id="34" name="Picture"/>
                    <pic:cNvPicPr>
                      <a:picLocks noChangeArrowheads="1" noChangeAspect="1"/>
                    </pic:cNvPicPr>
                  </pic:nvPicPr>
                  <pic:blipFill>
                    <a:blip r:embed="rId32"/>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5"/>
    <w:bookmarkStart w:id="39"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7" name="Picture"/>
            <a:graphic>
              <a:graphicData uri="http://schemas.openxmlformats.org/drawingml/2006/picture">
                <pic:pic>
                  <pic:nvPicPr>
                    <pic:cNvPr descr="images/antimony_1.png" id="38" name="Picture"/>
                    <pic:cNvPicPr>
                      <a:picLocks noChangeArrowheads="1" noChangeAspect="1"/>
                    </pic:cNvPicPr>
                  </pic:nvPicPr>
                  <pic:blipFill>
                    <a:blip r:embed="rId36"/>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9"/>
    <w:bookmarkStart w:id="43"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1" name="Picture"/>
            <a:graphic>
              <a:graphicData uri="http://schemas.openxmlformats.org/drawingml/2006/picture">
                <pic:pic>
                  <pic:nvPicPr>
                    <pic:cNvPr descr="images/antimony_2.png" id="42" name="Picture"/>
                    <pic:cNvPicPr>
                      <a:picLocks noChangeArrowheads="1" noChangeAspect="1"/>
                    </pic:cNvPicPr>
                  </pic:nvPicPr>
                  <pic:blipFill>
                    <a:blip r:embed="rId40"/>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3"/>
    <w:bookmarkStart w:id="47"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5" name="Picture"/>
            <a:graphic>
              <a:graphicData uri="http://schemas.openxmlformats.org/drawingml/2006/picture">
                <pic:pic>
                  <pic:nvPicPr>
                    <pic:cNvPr descr="images/antimony_3.png" id="46" name="Picture"/>
                    <pic:cNvPicPr>
                      <a:picLocks noChangeArrowheads="1" noChangeAspect="1"/>
                    </pic:cNvPicPr>
                  </pic:nvPicPr>
                  <pic:blipFill>
                    <a:blip r:embed="rId44"/>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7"/>
    <w:bookmarkStart w:id="51"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9" name="Picture"/>
            <a:graphic>
              <a:graphicData uri="http://schemas.openxmlformats.org/drawingml/2006/picture">
                <pic:pic>
                  <pic:nvPicPr>
                    <pic:cNvPr descr="images/antimony_4.png" id="50" name="Picture"/>
                    <pic:cNvPicPr>
                      <a:picLocks noChangeArrowheads="1" noChangeAspect="1"/>
                    </pic:cNvPicPr>
                  </pic:nvPicPr>
                  <pic:blipFill>
                    <a:blip r:embed="rId48"/>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1"/>
    <w:bookmarkEnd w:id="52"/>
    <w:bookmarkStart w:id="80" w:name="language-reference"/>
    <w:p>
      <w:pPr>
        <w:pStyle w:val="Heading2"/>
      </w:pPr>
      <w:r>
        <w:t xml:space="preserve">Language Reference</w:t>
      </w:r>
    </w:p>
    <w:bookmarkStart w:id="53"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3"/>
    <w:bookmarkStart w:id="54"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also changed:</w:t>
      </w:r>
    </w:p>
    <w:p>
      <w:pPr>
        <w:pStyle w:val="BodyText"/>
      </w:pPr>
      <w:r>
        <w:t xml:space="preserve">S1 = 2.5;</w:t>
      </w:r>
    </w:p>
    <w:p>
      <w:pPr>
        <w:pStyle w:val="BodyText"/>
      </w:pPr>
      <w:r>
        <w:t xml:space="preserve">This will set the initial amount to 2.5, not the initial concentration.</w:t>
      </w:r>
      <w:r>
        <w:t xml:space="preserve"> </w:t>
      </w:r>
      <w:r>
        <w:t xml:space="preserve">If you wish to set the initial concentration instead, use the compartment:</w:t>
      </w:r>
    </w:p>
    <w:p>
      <w:pPr>
        <w:pStyle w:val="BodyText"/>
      </w:pPr>
      <w:r>
        <w:t xml:space="preserve">S1 = 3.1*C</w:t>
      </w:r>
    </w:p>
    <w:p>
      <w:pPr>
        <w:pStyle w:val="BodyText"/>
      </w:pPr>
      <w:r>
        <w:t xml:space="preserve">Because a concentration times the compartment volume yields an amount, in</w:t>
      </w:r>
      <w:r>
        <w:t xml:space="preserve"> </w:t>
      </w:r>
      <w:r>
        <w:t xml:space="preserve">this formulation,</w:t>
      </w:r>
      <w:r>
        <w:t xml:space="preserve"> </w:t>
      </w:r>
      <w:r>
        <w:t xml:space="preserve">‘3.1’</w:t>
      </w:r>
      <w:r>
        <w:t xml:space="preserve"> </w:t>
      </w:r>
      <w:r>
        <w:t xml:space="preserve">is set as the initial concentration.</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12"/>
        </w:numPr>
      </w:pPr>
      <w:r>
        <w:t xml:space="preserve">If the symbol has been declared to be in a compartment, it is in</w:t>
      </w:r>
      <w:r>
        <w:t xml:space="preserve"> </w:t>
      </w:r>
      <w:r>
        <w:t xml:space="preserve">that compartment.</w:t>
      </w:r>
    </w:p>
    <w:p>
      <w:pPr>
        <w:pStyle w:val="Compact"/>
        <w:numPr>
          <w:ilvl w:val="0"/>
          <w:numId w:val="1012"/>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12"/>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12"/>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12"/>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x=r+5;</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a different class of events is often modeled in some situations</w:t>
      </w:r>
      <w:r>
        <w:t xml:space="preserve"> </w:t>
      </w:r>
      <w:r>
        <w:t xml:space="preserve">where the trigger condition must persist in being true from the entire</w:t>
      </w:r>
      <w:r>
        <w:t xml:space="preserve"> </w:t>
      </w:r>
      <w:r>
        <w:t xml:space="preserve">time between when the event is triggered to when it is executed. By</w:t>
      </w:r>
      <w:r>
        <w:t xml:space="preserve"> </w:t>
      </w:r>
      <w:r>
        <w:t xml:space="preserve">default, this is not the case for Antimony events, and, once triggered,</w:t>
      </w:r>
      <w:r>
        <w:t xml:space="preserve"> </w:t>
      </w:r>
      <w:r>
        <w:t xml:space="preserve">all events will execute. To change the class of your event, use the</w:t>
      </w:r>
      <w:r>
        <w:t xml:space="preserve"> </w:t>
      </w:r>
      <w:r>
        <w:t xml:space="preserve">keyword</w:t>
      </w:r>
      <w:r>
        <w:t xml:space="preserve"> </w:t>
      </w:r>
      <w:r>
        <w:t xml:space="preserve">‘persistent’</w:t>
      </w:r>
      <w:r>
        <w:t xml:space="preserve">:</w:t>
      </w:r>
    </w:p>
    <w:p>
      <w:pPr>
        <w:pStyle w:val="SourceCode"/>
      </w:pPr>
      <w:r>
        <w:rPr>
          <w:rStyle w:val="VerbatimChar"/>
        </w:rPr>
        <w:t xml:space="preserve">E1: at 3 after (x&gt;5), persistent=true: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‘persistent=false’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hyperlink w:anchor="function-definitions">
        <w:r>
          <w:rPr>
            <w:rStyle w:val="Hyperlink"/>
          </w:rPr>
          <w:t xml:space="preserve">user-defined function definitions</w:t>
        </w:r>
      </w:hyperlink>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bookmarkEnd w:id="71"/>
    <w:bookmarkStart w:id="76" w:name="flux-balance-constraints"/>
    <w:p>
      <w:pPr>
        <w:pStyle w:val="Heading3"/>
      </w:pPr>
      <w:r>
        <w:t xml:space="preserve">Flux Balance Constraints</w:t>
      </w:r>
    </w:p>
    <w:bookmarkStart w:id="72" w:name="constraints"/>
    <w:p>
      <w:pPr>
        <w:pStyle w:val="Heading4"/>
      </w:pPr>
      <w:r>
        <w:t xml:space="preserve">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(Any constraint is treated as</w:t>
      </w:r>
      <w:r>
        <w:t xml:space="preserve"> </w:t>
      </w:r>
      <w:r>
        <w:t xml:space="preserve">either an FBC constraint</w:t>
      </w:r>
      <w:r>
        <w:t xml:space="preserve"> </w:t>
      </w:r>
      <w:r>
        <w:rPr>
          <w:i/>
          <w:iCs/>
        </w:rPr>
        <w:t xml:space="preserve">or</w:t>
      </w:r>
      <w:r>
        <w:t xml:space="preserve"> </w:t>
      </w:r>
      <w:r>
        <w:t xml:space="preserve">a core SBML constraint, not both.)</w:t>
      </w:r>
    </w:p>
    <w:p>
      <w:pPr>
        <w:pStyle w:val="BodyText"/>
      </w:pPr>
      <w:r>
        <w:t xml:space="preserve">As of Antimony v3.1, these flux balance constraints are translated to</w:t>
      </w:r>
      <w:r>
        <w:t xml:space="preserve"> </w:t>
      </w:r>
      <w:r>
        <w:t xml:space="preserve">the SBML FBC package version 3, instead of version 1. Because all</w:t>
      </w:r>
      <w:r>
        <w:t xml:space="preserve"> </w:t>
      </w:r>
      <w:r>
        <w:t xml:space="preserve">FBC v3 constraints are stored as parameters, a translation of FBC</w:t>
      </w:r>
      <w:r>
        <w:t xml:space="preserve"> </w:t>
      </w:r>
      <w:r>
        <w:t xml:space="preserve">constraints to Antimony will result in constaints like the following:</w:t>
      </w:r>
    </w:p>
    <w:p>
      <w:pPr>
        <w:pStyle w:val="SourceCode"/>
      </w:pPr>
      <w:r>
        <w:rPr>
          <w:rStyle w:val="VerbatimChar"/>
        </w:rPr>
        <w:t xml:space="preserve">constraint J001_fluxBounds: FB2N0 &lt;= J001 &lt;= FB3N1</w:t>
      </w:r>
      <w:r>
        <w:br/>
      </w:r>
      <w:r>
        <w:rPr>
          <w:rStyle w:val="VerbatimChar"/>
        </w:rPr>
        <w:t xml:space="preserve">constraint J002_fluxBounds: FB2N0 &lt;= J002 &lt;= FB3N1</w:t>
      </w:r>
      <w:r>
        <w:br/>
      </w:r>
      <w:r>
        <w:br/>
      </w:r>
      <w:r>
        <w:rPr>
          <w:rStyle w:val="VerbatimChar"/>
        </w:rPr>
        <w:t xml:space="preserve">FB2N0 = 0;</w:t>
      </w:r>
      <w:r>
        <w:br/>
      </w:r>
      <w:r>
        <w:rPr>
          <w:rStyle w:val="VerbatimChar"/>
        </w:rPr>
        <w:t xml:space="preserve">FB3N1 = 1;</w:t>
      </w:r>
    </w:p>
    <w:p>
      <w:pPr>
        <w:pStyle w:val="FirstParagraph"/>
      </w:pPr>
      <w:r>
        <w:t xml:space="preserve">Also note that since FBC v2 and v3 dropped</w:t>
      </w:r>
      <w:r>
        <w:t xml:space="preserve"> </w:t>
      </w:r>
      <w:r>
        <w:t xml:space="preserve">‘&lt;’</w:t>
      </w:r>
      <w:r>
        <w:t xml:space="preserve"> </w:t>
      </w:r>
      <w:r>
        <w:t xml:space="preserve">in favor of</w:t>
      </w:r>
      <w:r>
        <w:t xml:space="preserve"> </w:t>
      </w:r>
      <w:r>
        <w:t xml:space="preserve">‘&lt;=’</w:t>
      </w:r>
      <w:r>
        <w:t xml:space="preserve">,</w:t>
      </w:r>
      <w:r>
        <w:t xml:space="preserve"> </w:t>
      </w:r>
      <w:r>
        <w:t xml:space="preserve">all FBC constraints will be converted to</w:t>
      </w:r>
      <w:r>
        <w:t xml:space="preserve"> </w:t>
      </w:r>
      <w:r>
        <w:t xml:space="preserve">‘&lt;=’</w:t>
      </w:r>
      <w:r>
        <w:t xml:space="preserve"> </w:t>
      </w:r>
      <w:r>
        <w:t xml:space="preserve">and</w:t>
      </w:r>
      <w:r>
        <w:t xml:space="preserve"> </w:t>
      </w:r>
      <w:r>
        <w:t xml:space="preserve">‘&gt;=’</w:t>
      </w:r>
      <w:r>
        <w:t xml:space="preserve">.</w:t>
      </w:r>
    </w:p>
    <w:bookmarkEnd w:id="72"/>
    <w:bookmarkStart w:id="73" w:name="objectives"/>
    <w:p>
      <w:pPr>
        <w:pStyle w:val="Heading4"/>
      </w:pPr>
      <w:r>
        <w:t xml:space="preserve">Objectives</w:t>
      </w:r>
    </w:p>
    <w:p>
      <w:pPr>
        <w:pStyle w:val="FirstParagraph"/>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p>
      <w:pPr>
        <w:pStyle w:val="FirstParagraph"/>
      </w:pPr>
      <w:r>
        <w:t xml:space="preserve">Objectives may be fairly complicated, but must be strict additive</w:t>
      </w:r>
      <w:r>
        <w:t xml:space="preserve"> </w:t>
      </w:r>
      <w:r>
        <w:t xml:space="preserve">combinations of multiples of reaction rates, with those reaction rates</w:t>
      </w:r>
      <w:r>
        <w:t xml:space="preserve"> </w:t>
      </w:r>
      <w:r>
        <w:t xml:space="preserve">optionally being squared or multiplied by other reaction rates:</w:t>
      </w:r>
    </w:p>
    <w:p>
      <w:pPr>
        <w:pStyle w:val="SourceCode"/>
      </w:pPr>
      <w:r>
        <w:rPr>
          <w:rStyle w:val="VerbatimChar"/>
        </w:rPr>
        <w:t xml:space="preserve">obj3: maximize J1 + 3*J2 + 4*J3^2 + 5*J4*J5</w:t>
      </w:r>
    </w:p>
    <w:bookmarkEnd w:id="73"/>
    <w:bookmarkStart w:id="74" w:name="X03dbc526dc4cea15bbccfad422f3dd4caeddfd8"/>
    <w:p>
      <w:pPr>
        <w:pStyle w:val="Heading4"/>
      </w:pPr>
      <w:r>
        <w:t xml:space="preserve">Gene Products and Gene Product Associations</w:t>
      </w:r>
    </w:p>
    <w:p>
      <w:pPr>
        <w:pStyle w:val="FirstParagraph"/>
      </w:pPr>
      <w:r>
        <w:t xml:space="preserve">The SBML FBC package also allows the definition of gene products,</w:t>
      </w:r>
      <w:r>
        <w:t xml:space="preserve"> </w:t>
      </w:r>
      <w:r>
        <w:t xml:space="preserve">which may optionally reference a species, and gene product associations,</w:t>
      </w:r>
      <w:r>
        <w:t xml:space="preserve"> </w:t>
      </w:r>
      <w:r>
        <w:t xml:space="preserve">which are additional information about reactions. A gene product</w:t>
      </w:r>
      <w:r>
        <w:t xml:space="preserve"> </w:t>
      </w:r>
      <w:r>
        <w:t xml:space="preserve">association may be defined by appending</w:t>
      </w:r>
      <w:r>
        <w:t xml:space="preserve"> </w:t>
      </w:r>
      <w:r>
        <w:t xml:space="preserve">‘.geneProductAssociation’</w:t>
      </w:r>
      <w:r>
        <w:t xml:space="preserve"> </w:t>
      </w:r>
      <w:r>
        <w:t xml:space="preserve">or</w:t>
      </w:r>
      <w:r>
        <w:t xml:space="preserve"> </w:t>
      </w:r>
      <w:r>
        <w:t xml:space="preserve">‘.gpa’</w:t>
      </w:r>
      <w:r>
        <w:t xml:space="preserve"> </w:t>
      </w:r>
      <w:r>
        <w:t xml:space="preserve">to a reaction ID, and defined by combining any number of gene</w:t>
      </w:r>
      <w:r>
        <w:t xml:space="preserve"> </w:t>
      </w:r>
      <w:r>
        <w:t xml:space="preserve">product IDs in</w:t>
      </w:r>
      <w:r>
        <w:t xml:space="preserve"> </w:t>
      </w:r>
      <w:r>
        <w:t xml:space="preserve">‘and’</w:t>
      </w:r>
      <w:r>
        <w:t xml:space="preserve"> </w:t>
      </w:r>
      <w:r>
        <w:t xml:space="preserve">and</w:t>
      </w:r>
      <w:r>
        <w:t xml:space="preserve"> </w:t>
      </w:r>
      <w:r>
        <w:t xml:space="preserve">‘or’</w:t>
      </w:r>
      <w:r>
        <w:t xml:space="preserve"> </w:t>
      </w:r>
      <w:r>
        <w:t xml:space="preserve">combinations:</w:t>
      </w:r>
    </w:p>
    <w:p>
      <w:pPr>
        <w:pStyle w:val="SourceCode"/>
      </w:pPr>
      <w:r>
        <w:rPr>
          <w:rStyle w:val="VerbatimChar"/>
        </w:rPr>
        <w:t xml:space="preserve">J0.geneProductAssociation = G_kasB</w:t>
      </w:r>
      <w:r>
        <w:br/>
      </w:r>
      <w:r>
        <w:rPr>
          <w:rStyle w:val="VerbatimChar"/>
        </w:rPr>
        <w:t xml:space="preserve">J1.gpa                    = G_kasB &amp;&amp; G_kasA;</w:t>
      </w:r>
      <w:r>
        <w:br/>
      </w:r>
      <w:r>
        <w:rPr>
          <w:rStyle w:val="VerbatimChar"/>
        </w:rPr>
        <w:t xml:space="preserve">J2.gpa                    = (G_kasB &amp;&amp; G_kasA) || G_kasC</w:t>
      </w:r>
    </w:p>
    <w:p>
      <w:pPr>
        <w:pStyle w:val="FirstParagraph"/>
      </w:pPr>
      <w:r>
        <w:t xml:space="preserve">Any ID used in a gene product association will be automatically</w:t>
      </w:r>
      <w:r>
        <w:t xml:space="preserve"> </w:t>
      </w:r>
      <w:r>
        <w:t xml:space="preserve">defined as a gene product, but you may also define them explicitly:</w:t>
      </w:r>
    </w:p>
    <w:p>
      <w:pPr>
        <w:pStyle w:val="SourceCode"/>
      </w:pPr>
      <w:r>
        <w:rPr>
          <w:rStyle w:val="VerbatimChar"/>
        </w:rPr>
        <w:t xml:space="preserve">geneProduct G_kasA, G_kasB, G_kasC</w:t>
      </w:r>
    </w:p>
    <w:p>
      <w:pPr>
        <w:pStyle w:val="FirstParagraph"/>
      </w:pPr>
      <w:r>
        <w:t xml:space="preserve">Commonly-used gene product names sometimes to not conform to the</w:t>
      </w:r>
      <w:r>
        <w:t xml:space="preserve"> </w:t>
      </w:r>
      <w:r>
        <w:t xml:space="preserve">Antimony or SBML-style syntax for IDs. As a result, the FBC package</w:t>
      </w:r>
      <w:r>
        <w:t xml:space="preserve"> </w:t>
      </w:r>
      <w:r>
        <w:t xml:space="preserve">adds a</w:t>
      </w:r>
      <w:r>
        <w:t xml:space="preserve"> </w:t>
      </w:r>
      <w:r>
        <w:t xml:space="preserve">‘label’</w:t>
      </w:r>
      <w:r>
        <w:t xml:space="preserve"> </w:t>
      </w:r>
      <w:r>
        <w:t xml:space="preserve">to gene products which may be any syntax. In Antimony,</w:t>
      </w:r>
      <w:r>
        <w:t xml:space="preserve"> </w:t>
      </w:r>
      <w:r>
        <w:t xml:space="preserve">the</w:t>
      </w:r>
      <w:r>
        <w:t xml:space="preserve"> </w:t>
      </w:r>
      <w:r>
        <w:t xml:space="preserve">‘display name’</w:t>
      </w:r>
      <w:r>
        <w:t xml:space="preserve"> </w:t>
      </w:r>
      <w:r>
        <w:t xml:space="preserve">is used for this purpose:</w:t>
      </w:r>
    </w:p>
    <w:p>
      <w:pPr>
        <w:pStyle w:val="SourceCode"/>
      </w:pPr>
      <w:r>
        <w:rPr>
          <w:rStyle w:val="VerbatimChar"/>
        </w:rPr>
        <w:t xml:space="preserve">G_kasA is "Gene-kasA"</w:t>
      </w:r>
    </w:p>
    <w:p>
      <w:pPr>
        <w:pStyle w:val="FirstParagraph"/>
      </w:pPr>
      <w:r>
        <w:t xml:space="preserve">To declare an</w:t>
      </w:r>
      <w:r>
        <w:t xml:space="preserve"> </w:t>
      </w:r>
      <w:r>
        <w:t xml:space="preserve">‘associated species’</w:t>
      </w:r>
      <w:r>
        <w:t xml:space="preserve"> </w:t>
      </w:r>
      <w:r>
        <w:t xml:space="preserve">for a gene product, simply use</w:t>
      </w:r>
      <w:r>
        <w:t xml:space="preserve"> </w:t>
      </w:r>
      <w:r>
        <w:t xml:space="preserve">‘=’</w:t>
      </w:r>
      <w:r>
        <w:t xml:space="preserve">:</w:t>
      </w:r>
    </w:p>
    <w:p>
      <w:pPr>
        <w:pStyle w:val="SourceCode"/>
      </w:pPr>
      <w:r>
        <w:rPr>
          <w:rStyle w:val="VerbatimChar"/>
        </w:rPr>
        <w:t xml:space="preserve">G_kasA = S1</w:t>
      </w:r>
    </w:p>
    <w:bookmarkEnd w:id="74"/>
    <w:bookmarkStart w:id="75" w:name="species-charge-and-chemical-formula"/>
    <w:p>
      <w:pPr>
        <w:pStyle w:val="Heading4"/>
      </w:pPr>
      <w:r>
        <w:t xml:space="preserve">Species charge and chemical formula</w:t>
      </w:r>
    </w:p>
    <w:p>
      <w:pPr>
        <w:pStyle w:val="FirstParagraph"/>
      </w:pPr>
      <w:r>
        <w:t xml:space="preserve">The SBML FBC package additionally allows the charge and chemical</w:t>
      </w:r>
      <w:r>
        <w:t xml:space="preserve"> </w:t>
      </w:r>
      <w:r>
        <w:t xml:space="preserve">formulas of species to be stored. The charge must be a number, and</w:t>
      </w:r>
      <w:r>
        <w:t xml:space="preserve"> </w:t>
      </w:r>
      <w:r>
        <w:t xml:space="preserve">the chemical formula must conform to the syntax defined in the FBC</w:t>
      </w:r>
      <w:r>
        <w:t xml:space="preserve"> </w:t>
      </w:r>
      <w:r>
        <w:t xml:space="preserve">specification, with (essentially) numbers and atom names, in alphabetical</w:t>
      </w:r>
      <w:r>
        <w:t xml:space="preserve"> </w:t>
      </w:r>
      <w:r>
        <w:t xml:space="preserve">order after carbon, though some variation is allowed. The charge is</w:t>
      </w:r>
      <w:r>
        <w:t xml:space="preserve"> </w:t>
      </w:r>
      <w:r>
        <w:t xml:space="preserve">defined with</w:t>
      </w:r>
      <w:r>
        <w:t xml:space="preserve"> </w:t>
      </w:r>
      <w:r>
        <w:t xml:space="preserve">‘[speciesID].charge’</w:t>
      </w:r>
      <w:r>
        <w:t xml:space="preserve">, and the chemical formula may be</w:t>
      </w:r>
      <w:r>
        <w:t xml:space="preserve"> </w:t>
      </w:r>
      <w:r>
        <w:t xml:space="preserve">defined with</w:t>
      </w:r>
      <w:r>
        <w:t xml:space="preserve"> </w:t>
      </w:r>
      <w:r>
        <w:t xml:space="preserve">‘[id].formula’</w:t>
      </w:r>
      <w:r>
        <w:t xml:space="preserve"> </w:t>
      </w:r>
      <w:r>
        <w:t xml:space="preserve">or</w:t>
      </w:r>
      <w:r>
        <w:t xml:space="preserve"> </w:t>
      </w:r>
      <w:r>
        <w:t xml:space="preserve">‘[id].chemicalFormula’</w:t>
      </w:r>
      <w:r>
        <w:t xml:space="preserve">. Alternatively,</w:t>
      </w:r>
      <w:r>
        <w:t xml:space="preserve"> </w:t>
      </w:r>
      <w:r>
        <w:t xml:space="preserve">‘is’</w:t>
      </w:r>
      <w:r>
        <w:t xml:space="preserve"> </w:t>
      </w:r>
      <w:r>
        <w:t xml:space="preserve">may be used, but either way, the formula must be in quotes:</w:t>
      </w:r>
    </w:p>
    <w:p>
      <w:pPr>
        <w:pStyle w:val="SourceCode"/>
      </w:pPr>
      <w:r>
        <w:rPr>
          <w:rStyle w:val="VerbatimChar"/>
        </w:rPr>
        <w:t xml:space="preserve">S1.charge = 3.2</w:t>
      </w:r>
      <w:r>
        <w:br/>
      </w:r>
      <w:r>
        <w:rPr>
          <w:rStyle w:val="VerbatimChar"/>
        </w:rPr>
        <w:t xml:space="preserve">S2.chemicalFormula = "C10H12N5O13P3"</w:t>
      </w:r>
      <w:r>
        <w:br/>
      </w:r>
      <w:r>
        <w:rPr>
          <w:rStyle w:val="VerbatimChar"/>
        </w:rPr>
        <w:t xml:space="preserve">S3.formula = "C2H4O2(CH2)n"</w:t>
      </w:r>
      <w:r>
        <w:br/>
      </w:r>
      <w:r>
        <w:rPr>
          <w:rStyle w:val="VerbatimChar"/>
        </w:rPr>
        <w:t xml:space="preserve">S4.formula is "CH2NO"</w:t>
      </w:r>
    </w:p>
    <w:bookmarkEnd w:id="75"/>
    <w:bookmarkEnd w:id="76"/>
    <w:bookmarkStart w:id="77"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7"/>
    <w:bookmarkStart w:id="79"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8">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9"/>
    <w:bookmarkEnd w:id="80"/>
    <w:bookmarkStart w:id="89"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81"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81"/>
    <w:bookmarkStart w:id="82"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82"/>
    <w:bookmarkStart w:id="83"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83"/>
    <w:bookmarkStart w:id="84"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4"/>
    <w:bookmarkStart w:id="85"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5"/>
    <w:bookmarkStart w:id="86"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6"/>
    <w:bookmarkStart w:id="87"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7"/>
    <w:bookmarkStart w:id="88"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13"/>
        </w:numPr>
      </w:pPr>
      <w:r>
        <w:t xml:space="preserve">[number]: a number</w:t>
      </w:r>
    </w:p>
    <w:p>
      <w:pPr>
        <w:pStyle w:val="Compact"/>
        <w:numPr>
          <w:ilvl w:val="0"/>
          <w:numId w:val="1013"/>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13"/>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13"/>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13"/>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8"/>
    <w:bookmarkEnd w:id="89"/>
    <w:bookmarkStart w:id="90"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14"/>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14"/>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14"/>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14"/>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14"/>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14"/>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14"/>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14"/>
        </w:numPr>
      </w:pPr>
      <w:r>
        <w:t xml:space="preserve">DNA strands in Antimony disappear in SBML.</w:t>
      </w:r>
    </w:p>
    <w:p>
      <w:pPr>
        <w:pStyle w:val="Compact"/>
        <w:numPr>
          <w:ilvl w:val="0"/>
          <w:numId w:val="1014"/>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14"/>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14"/>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14"/>
        </w:numPr>
      </w:pPr>
      <w:r>
        <w:t xml:space="preserve">The MathML csymbol</w:t>
      </w:r>
      <w:r>
        <w:t xml:space="preserve"> </w:t>
      </w:r>
      <w:r>
        <w:t xml:space="preserve">‘delay’</w:t>
      </w:r>
      <w:r>
        <w:t xml:space="preserve"> </w:t>
      </w:r>
      <w:r>
        <w:t xml:space="preserve">in SBML disappears in Antimony.</w:t>
      </w:r>
    </w:p>
    <w:p>
      <w:pPr>
        <w:pStyle w:val="Compact"/>
        <w:numPr>
          <w:ilvl w:val="0"/>
          <w:numId w:val="1014"/>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15"/>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14"/>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90"/>
    <w:bookmarkStart w:id="94" w:name="further-reading"/>
    <w:p>
      <w:pPr>
        <w:pStyle w:val="Heading2"/>
      </w:pPr>
      <w:r>
        <w:t xml:space="preserve">Further Reading</w:t>
      </w:r>
    </w:p>
    <w:p>
      <w:pPr>
        <w:pStyle w:val="Compact"/>
        <w:numPr>
          <w:ilvl w:val="0"/>
          <w:numId w:val="1016"/>
        </w:numPr>
      </w:pPr>
      <w:r>
        <w:t xml:space="preserve">Lucian Smith’s</w:t>
      </w:r>
      <w:r>
        <w:t xml:space="preserve"> </w:t>
      </w:r>
      <w:hyperlink r:id="rId91">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92">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16"/>
        </w:numPr>
      </w:pPr>
      <w:hyperlink r:id="rId93">
        <w:r>
          <w:rPr>
            <w:rStyle w:val="Hyperlink"/>
          </w:rPr>
          <w:t xml:space="preserve">This manual</w:t>
        </w:r>
      </w:hyperlink>
      <w:r>
        <w:t xml:space="preserve"> </w:t>
      </w:r>
      <w:r>
        <w:t xml:space="preserve">in</w:t>
      </w:r>
      <w:r>
        <w:t xml:space="preserve"> </w:t>
      </w:r>
      <w:r>
        <w:t xml:space="preserve">PDF format.</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93" Target="AntimonyTutorial.pdf" TargetMode="External" /><Relationship Type="http://schemas.openxmlformats.org/officeDocument/2006/relationships/hyperlink" Id="rId78" Target="http://antimony.sourceforge.net/" TargetMode="External" /><Relationship Type="http://schemas.openxmlformats.org/officeDocument/2006/relationships/hyperlink" Id="rId91"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2"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93" Target="AntimonyTutorial.pdf" TargetMode="External" /><Relationship Type="http://schemas.openxmlformats.org/officeDocument/2006/relationships/hyperlink" Id="rId78" Target="http://antimony.sourceforge.net/" TargetMode="External" /><Relationship Type="http://schemas.openxmlformats.org/officeDocument/2006/relationships/hyperlink" Id="rId91"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2"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2025-09-20T00:02:55Z</dcterms:created>
  <dcterms:modified xsi:type="dcterms:W3CDTF">2025-09-20T00:02:55Z</dcterms:modified>
</cp:coreProperties>
</file>

<file path=docProps/custom.xml><?xml version="1.0" encoding="utf-8"?>
<Properties xmlns="http://schemas.openxmlformats.org/officeDocument/2006/custom-properties" xmlns:vt="http://schemas.openxmlformats.org/officeDocument/2006/docPropsVTypes"/>
</file>