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3.2 release cleaned up the build system, increased efficiency, and fixed numerous bugs, mostly discovered through converting SBML Test Suite models to Antimony and back to SBML, and ensuring that a simulation of the round-tripped model matched a simulation of the original model. The entirety of the SBML Test Suite (with the exception of</w:t>
      </w:r>
      <w:r>
        <w:t xml:space="preserve"> </w:t>
      </w:r>
      <w:r>
        <w:t xml:space="preserve">‘fast’</w:t>
      </w:r>
      <w:r>
        <w:t xml:space="preserve"> </w:t>
      </w:r>
      <w:r>
        <w:t xml:space="preserve">reactions, now deprecated in SBML) now successfully round-trip through Antimony without loss of information (though some things may change structurally for hierarchical models).</w:t>
      </w:r>
    </w:p>
    <w:p>
      <w:pPr>
        <w:pStyle w:val="BodyText"/>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80"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BodyText"/>
      </w:pPr>
      <w:r>
        <w:t xml:space="preserve">S1 = 2.5;</w:t>
      </w:r>
    </w:p>
    <w:p>
      <w:pPr>
        <w:pStyle w:val="BodyText"/>
      </w:pPr>
      <w:r>
        <w:t xml:space="preserve">This will set the initial amount to 2.5, not the initial concentration.</w:t>
      </w:r>
      <w:r>
        <w:t xml:space="preserve"> </w:t>
      </w:r>
      <w:r>
        <w:t xml:space="preserve">If you wish to set the initial concentration instead, use the compartment:</w:t>
      </w:r>
    </w:p>
    <w:p>
      <w:pPr>
        <w:pStyle w:val="BodyText"/>
      </w:pPr>
      <w:r>
        <w:t xml:space="preserve">S1 = 3.1*C</w:t>
      </w:r>
    </w:p>
    <w:p>
      <w:pPr>
        <w:pStyle w:val="BodyText"/>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by default, once a trigger changes from false to true, the event</w:t>
      </w:r>
      <w:r>
        <w:t xml:space="preserve"> </w:t>
      </w:r>
      <w:r>
        <w:t xml:space="preserve">assignments will always be executed, perhaps after a delay, or perhaps</w:t>
      </w:r>
      <w:r>
        <w:t xml:space="preserve"> </w:t>
      </w:r>
      <w:r>
        <w:t xml:space="preserve">after waiting for other simultaneously-triggered events to be executed.</w:t>
      </w:r>
      <w:r>
        <w:t xml:space="preserve"> </w:t>
      </w:r>
      <w:r>
        <w:t xml:space="preserve">This is a</w:t>
      </w:r>
      <w:r>
        <w:t xml:space="preserve"> </w:t>
      </w:r>
      <w:r>
        <w:t xml:space="preserve">‘persistent’</w:t>
      </w:r>
      <w:r>
        <w:t xml:space="preserve"> </w:t>
      </w:r>
      <w:r>
        <w:t xml:space="preserve">event: the event remains in the</w:t>
      </w:r>
      <w:r>
        <w:t xml:space="preserve"> </w:t>
      </w:r>
      <w:r>
        <w:t xml:space="preserve">‘queue’</w:t>
      </w:r>
      <w:r>
        <w:t xml:space="preserve"> </w:t>
      </w:r>
      <w:r>
        <w:t xml:space="preserve">regardless</w:t>
      </w:r>
      <w:r>
        <w:t xml:space="preserve"> </w:t>
      </w:r>
      <w:r>
        <w:t xml:space="preserve">of whether the trigger condition later changed from</w:t>
      </w:r>
      <w:r>
        <w:t xml:space="preserve"> </w:t>
      </w:r>
      <w:r>
        <w:t xml:space="preserve">‘true’</w:t>
      </w:r>
      <w:r>
        <w:t xml:space="preserve"> </w:t>
      </w:r>
      <w:r>
        <w:t xml:space="preserve">back to</w:t>
      </w:r>
      <w:r>
        <w:t xml:space="preserve"> </w:t>
      </w:r>
      <w:r>
        <w:t xml:space="preserve">‘false’</w:t>
      </w:r>
      <w:r>
        <w:t xml:space="preserve">.</w:t>
      </w:r>
    </w:p>
    <w:p>
      <w:pPr>
        <w:pStyle w:val="BodyText"/>
      </w:pPr>
      <w:r>
        <w:t xml:space="preserve">However, the opposite is also possible: some events’ assignments will</w:t>
      </w:r>
      <w:r>
        <w:t xml:space="preserve"> </w:t>
      </w:r>
      <w:r>
        <w:t xml:space="preserve">only be executed if the trigger remains</w:t>
      </w:r>
      <w:r>
        <w:t xml:space="preserve"> </w:t>
      </w:r>
      <w:r>
        <w:t xml:space="preserve">‘true’</w:t>
      </w:r>
      <w:r>
        <w:t xml:space="preserve"> </w:t>
      </w:r>
      <w:r>
        <w:t xml:space="preserve">up until the moment of</w:t>
      </w:r>
      <w:r>
        <w:t xml:space="preserve"> </w:t>
      </w:r>
      <w:r>
        <w:t xml:space="preserve">assignment execution. These events are flagged as being</w:t>
      </w:r>
      <w:r>
        <w:t xml:space="preserve"> </w:t>
      </w:r>
      <w:r>
        <w:t xml:space="preserve">‘non-persistent’</w:t>
      </w:r>
      <w:r>
        <w:t xml:space="preserve">,</w:t>
      </w:r>
      <w:r>
        <w:t xml:space="preserve"> </w:t>
      </w:r>
      <w:r>
        <w:t xml:space="preserve">indicating that their triggers must be continually checked until execution.</w:t>
      </w:r>
      <w:r>
        <w:t xml:space="preserve"> </w:t>
      </w:r>
      <w:r>
        <w:t xml:space="preserve">In Antimony, you can set this directly by setting</w:t>
      </w:r>
      <w:r>
        <w:t xml:space="preserve"> </w:t>
      </w:r>
      <w:r>
        <w:t xml:space="preserve">‘persistent=false’</w:t>
      </w:r>
      <w:r>
        <w:t xml:space="preserve">:</w:t>
      </w:r>
    </w:p>
    <w:p>
      <w:pPr>
        <w:pStyle w:val="SourceCode"/>
      </w:pPr>
      <w:r>
        <w:rPr>
          <w:rStyle w:val="VerbatimChar"/>
        </w:rPr>
        <w:t xml:space="preserve">E1: at 3 after (x&gt;5), persistent=false: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‘persistent=true’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p>
      <w:pPr>
        <w:pStyle w:val="FirstParagraph"/>
      </w:pPr>
      <w:r>
        <w:t xml:space="preserve">An SBML reaction’s kinetic law can be annotated separately from the reaction</w:t>
      </w:r>
      <w:r>
        <w:t xml:space="preserve"> </w:t>
      </w:r>
      <w:r>
        <w:t xml:space="preserve">itself. We can also do this in Antimony by appending</w:t>
      </w:r>
      <w:r>
        <w:t xml:space="preserve"> </w:t>
      </w:r>
      <w:r>
        <w:t xml:space="preserve">‘.kineticLaw’</w:t>
      </w:r>
      <w:r>
        <w:t xml:space="preserve"> </w:t>
      </w:r>
      <w:r>
        <w:t xml:space="preserve">to</w:t>
      </w:r>
      <w:r>
        <w:t xml:space="preserve"> </w:t>
      </w:r>
      <w:r>
        <w:t xml:space="preserve">a reaction ID and setting the annotation there:</w:t>
      </w:r>
    </w:p>
    <w:p>
      <w:pPr>
        <w:pStyle w:val="SourceCode"/>
      </w:pPr>
      <w:r>
        <w:rPr>
          <w:rStyle w:val="VerbatimChar"/>
        </w:rPr>
        <w:t xml:space="preserve">J0.kineticLaw.sboTerm = 42</w:t>
      </w:r>
      <w:r>
        <w:br/>
      </w:r>
      <w:r>
        <w:rPr>
          <w:rStyle w:val="VerbatimChar"/>
        </w:rPr>
        <w:t xml:space="preserve">J0.kineticLaw identity "cvterm"</w:t>
      </w:r>
    </w:p>
    <w:bookmarkEnd w:id="71"/>
    <w:bookmarkStart w:id="76" w:name="flux-balance-constraints"/>
    <w:p>
      <w:pPr>
        <w:pStyle w:val="Heading3"/>
      </w:pPr>
      <w:r>
        <w:t xml:space="preserve">Flux Balance Constraints</w:t>
      </w:r>
    </w:p>
    <w:bookmarkStart w:id="72"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2"/>
    <w:bookmarkStart w:id="73"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3"/>
    <w:bookmarkStart w:id="74"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4"/>
    <w:bookmarkStart w:id="75"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5"/>
    <w:bookmarkEnd w:id="76"/>
    <w:bookmarkStart w:id="77"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7"/>
    <w:bookmarkStart w:id="79"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8">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9"/>
    <w:bookmarkEnd w:id="80"/>
    <w:bookmarkStart w:id="90"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1"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1"/>
    <w:bookmarkStart w:id="82"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2"/>
    <w:bookmarkStart w:id="83"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3"/>
    <w:bookmarkStart w:id="84"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4"/>
    <w:bookmarkStart w:id="85"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5"/>
    <w:bookmarkStart w:id="86"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6"/>
    <w:bookmarkStart w:id="87"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7"/>
    <w:bookmarkStart w:id="88"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8"/>
    <w:bookmarkStart w:id="89" w:name="a-full-example"/>
    <w:p>
      <w:pPr>
        <w:pStyle w:val="Heading3"/>
      </w:pPr>
      <w:r>
        <w:t xml:space="preserve">A full example</w:t>
      </w:r>
    </w:p>
    <w:p>
      <w:pPr>
        <w:pStyle w:val="FirstParagraph"/>
      </w:pPr>
      <w:r>
        <w:t xml:space="preserve">Here’s a fairly complete model that exercises most of the elements of a typical Antimony layout:</w:t>
      </w:r>
    </w:p>
    <w:p>
      <w:pPr>
        <w:pStyle w:val="SourceCode"/>
      </w:pPr>
      <w:r>
        <w:rPr>
          <w:rStyle w:val="VerbatimChar"/>
        </w:rPr>
        <w:t xml:space="preserve">    J0: S1-&gt;S2;</w:t>
      </w:r>
      <w:r>
        <w:br/>
      </w:r>
      <w:r>
        <w:rPr>
          <w:rStyle w:val="VerbatimChar"/>
        </w:rPr>
        <w:t xml:space="preserve">    # If you just want layout on:</w:t>
      </w:r>
      <w:r>
        <w:br/>
      </w:r>
      <w:r>
        <w:rPr>
          <w:rStyle w:val="VerbatimChar"/>
        </w:rPr>
        <w:t xml:space="preserve">    model.layout = on                   # Only need to turn on if don't define anything else; doesn't work to turn it off.</w:t>
      </w:r>
      <w:r>
        <w:br/>
      </w:r>
      <w:r>
        <w:br/>
      </w:r>
      <w:r>
        <w:rPr>
          <w:rStyle w:val="VerbatimChar"/>
        </w:rPr>
        <w:t xml:space="preserve">    //Autolayout options:</w:t>
      </w:r>
      <w:r>
        <w:br/>
      </w:r>
      <w:r>
        <w:rPr>
          <w:rStyle w:val="VerbatimChar"/>
        </w:rPr>
        <w:t xml:space="preserve">    model.autolayout.maxNumConnectedEdges = 5  # If a single species is involved in more than this number of reactions, it gets aliased.  Default 3.</w:t>
      </w:r>
      <w:r>
        <w:br/>
      </w:r>
      <w:r>
        <w:br/>
      </w:r>
      <w:r>
        <w:rPr>
          <w:rStyle w:val="VerbatimChar"/>
        </w:rPr>
        <w:t xml:space="preserve">    # General layout defaults:</w:t>
      </w:r>
      <w:r>
        <w:br/>
      </w:r>
      <w:r>
        <w:rPr>
          <w:rStyle w:val="VerbatimChar"/>
        </w:rPr>
        <w:t xml:space="preserve">    model.layout.style = calm           # Set the overall style to one of Adel's predefined styles.</w:t>
      </w:r>
      <w:r>
        <w:br/>
      </w:r>
      <w:r>
        <w:rPr>
          <w:rStyle w:val="VerbatimChar"/>
        </w:rPr>
        <w:t xml:space="preserve">    model.layout.align_top = {S1}       # Align these nodes in the same row at the top of the layout.  </w:t>
      </w:r>
      <w:r>
        <w:br/>
      </w:r>
      <w:r>
        <w:rPr>
          <w:rStyle w:val="VerbatimChar"/>
        </w:rPr>
        <w:t xml:space="preserve">                                        # (Also available: align_ - bottom, right, left, hCenter, vCenter, and circular)</w:t>
      </w:r>
      <w:r>
        <w:br/>
      </w:r>
      <w:r>
        <w:rPr>
          <w:rStyle w:val="VerbatimChar"/>
        </w:rPr>
        <w:t xml:space="preserve">    model.layout.size = {505, 404}      # {width, height}  The size of the entire layout. </w:t>
      </w:r>
      <w:r>
        <w:br/>
      </w:r>
      <w:r>
        <w:rPr>
          <w:rStyle w:val="VerbatimChar"/>
        </w:rPr>
        <w:t xml:space="preserve">    model.layout.width = 505            # alt for 'size'   The width of the entire layout.</w:t>
      </w:r>
      <w:r>
        <w:br/>
      </w:r>
      <w:r>
        <w:rPr>
          <w:rStyle w:val="VerbatimChar"/>
        </w:rPr>
        <w:t xml:space="preserve">    model.layout.height = 404           # alt for 'size'   The height of the entire layout.</w:t>
      </w:r>
      <w:r>
        <w:br/>
      </w:r>
      <w:r>
        <w:br/>
      </w:r>
      <w:r>
        <w:rPr>
          <w:rStyle w:val="VerbatimChar"/>
        </w:rPr>
        <w:t xml:space="preserve">    model.layout.background = fuchsia   # The background color</w:t>
      </w:r>
      <w:r>
        <w:br/>
      </w:r>
      <w:r>
        <w:rPr>
          <w:rStyle w:val="VerbatimChar"/>
        </w:rPr>
        <w:t xml:space="preserve">    model.layout.color = khaki          # (or 'fillcolor')  The fill color for all elements in the layout</w:t>
      </w:r>
      <w:r>
        <w:br/>
      </w:r>
      <w:r>
        <w:rPr>
          <w:rStyle w:val="VerbatimChar"/>
        </w:rPr>
        <w:t xml:space="preserve">    model.layout.linecolor = azure      # (or 'strokecolor')  The default line color for all elements in the layout</w:t>
      </w:r>
      <w:r>
        <w:br/>
      </w:r>
      <w:r>
        <w:rPr>
          <w:rStyle w:val="VerbatimChar"/>
        </w:rPr>
        <w:t xml:space="preserve">    model.layout.linewidth = 32         # (or 'strokewidth')  The default linewidth for all elements in the layout</w:t>
      </w:r>
      <w:r>
        <w:br/>
      </w:r>
      <w:r>
        <w:rPr>
          <w:rStyle w:val="VerbatimChar"/>
        </w:rPr>
        <w:t xml:space="preserve">    model.layout.fontcolor = coral      # The default font color for all text in the layout</w:t>
      </w:r>
      <w:r>
        <w:br/>
      </w:r>
      <w:r>
        <w:rPr>
          <w:rStyle w:val="VerbatimChar"/>
        </w:rPr>
        <w:t xml:space="preserve">    model.layout.font = monospace       # The default font for all text in the layout (predefined options are 'serif' (default), 'sans_serif', and 'monospace', but arbitrary font names are also legal.)</w:t>
      </w:r>
      <w:r>
        <w:br/>
      </w:r>
      <w:r>
        <w:rPr>
          <w:rStyle w:val="VerbatimChar"/>
        </w:rPr>
        <w:t xml:space="preserve">    model.layout.fontsize = 4           # The default font size for all text in the layout (default 10)</w:t>
      </w:r>
      <w:r>
        <w:br/>
      </w:r>
      <w:r>
        <w:rPr>
          <w:rStyle w:val="VerbatimChar"/>
        </w:rPr>
        <w:t xml:space="preserve">    model.layout.fontstyle = italic     # (or 'fontweight')  The default font style for all text in the layout (options are 'normal' (default), 'bold', 'italic', and 'bold_italic').</w:t>
      </w:r>
      <w:r>
        <w:br/>
      </w:r>
      <w:r>
        <w:br/>
      </w:r>
      <w:r>
        <w:rPr>
          <w:rStyle w:val="VerbatimChar"/>
        </w:rPr>
        <w:t xml:space="preserve">    # Group type defaults (species, compartments, reactions)</w:t>
      </w:r>
      <w:r>
        <w:br/>
      </w:r>
      <w:r>
        <w:rPr>
          <w:rStyle w:val="VerbatimChar"/>
        </w:rPr>
        <w:t xml:space="preserve">    species.size = {68, 101}            # The default size (width, height) for all species in the layout</w:t>
      </w:r>
      <w:r>
        <w:br/>
      </w:r>
      <w:r>
        <w:rPr>
          <w:rStyle w:val="VerbatimChar"/>
        </w:rPr>
        <w:t xml:space="preserve">    species.width = 68                  # The default height for all species in the layout</w:t>
      </w:r>
      <w:r>
        <w:br/>
      </w:r>
      <w:r>
        <w:rPr>
          <w:rStyle w:val="VerbatimChar"/>
        </w:rPr>
        <w:t xml:space="preserve">    species.height = 101                # The default height for all species in the layout</w:t>
      </w:r>
      <w:r>
        <w:br/>
      </w:r>
      <w:r>
        <w:rPr>
          <w:rStyle w:val="VerbatimChar"/>
        </w:rPr>
        <w:t xml:space="preserve">    species.color = blue                # (or 'fillcolor')  The default fill color for all species in the layout</w:t>
      </w:r>
      <w:r>
        <w:br/>
      </w:r>
      <w:r>
        <w:rPr>
          <w:rStyle w:val="VerbatimChar"/>
        </w:rPr>
        <w:t xml:space="preserve">    species.linecolor = orange          # (or 'strokecolor')  The default line color for all species in the layout</w:t>
      </w:r>
      <w:r>
        <w:br/>
      </w:r>
      <w:r>
        <w:rPr>
          <w:rStyle w:val="VerbatimChar"/>
        </w:rPr>
        <w:t xml:space="preserve">    species.linewidth = 11              # (or 'strokewidth')  The default linewidth for all species in the layout</w:t>
      </w:r>
      <w:r>
        <w:br/>
      </w:r>
      <w:r>
        <w:rPr>
          <w:rStyle w:val="VerbatimChar"/>
        </w:rPr>
        <w:t xml:space="preserve">    species.fontcolor = green           # The default font color for all species in the layout</w:t>
      </w:r>
      <w:r>
        <w:br/>
      </w:r>
      <w:r>
        <w:rPr>
          <w:rStyle w:val="VerbatimChar"/>
        </w:rPr>
        <w:t xml:space="preserve">    species.font = sans_serif           # The default font for all species in the layout (predefined options are 'serif' (default), 'sans_serif', and 'monospace', but arbitrary font names are also legal.)</w:t>
      </w:r>
      <w:r>
        <w:br/>
      </w:r>
      <w:r>
        <w:rPr>
          <w:rStyle w:val="VerbatimChar"/>
        </w:rPr>
        <w:t xml:space="preserve">    species.fontsize = 8                # The default font size for all species in the layout (default 10)</w:t>
      </w:r>
      <w:r>
        <w:br/>
      </w:r>
      <w:r>
        <w:rPr>
          <w:rStyle w:val="VerbatimChar"/>
        </w:rPr>
        <w:t xml:space="preserve">    species.fontstyle = bold_italic     # (or 'fontweight')  The default font style for all species in the layout (options are 'normal' (default), 'bold', 'italic', and 'bold_italic').</w:t>
      </w:r>
      <w:r>
        <w:br/>
      </w:r>
      <w:r>
        <w:rPr>
          <w:rStyle w:val="VerbatimChar"/>
        </w:rPr>
        <w:t xml:space="preserve">    species.shape = ellipse             # The default shape for all species in the layout (options are 'rectangle' (default), 'square', 'ellipse', 'circle', 'triangle', 'diamond', 'pentagon', 'hexagon', and 'octagon').</w:t>
      </w:r>
      <w:r>
        <w:br/>
      </w:r>
      <w:r>
        <w:br/>
      </w:r>
      <w:r>
        <w:rPr>
          <w:rStyle w:val="VerbatimChar"/>
        </w:rPr>
        <w:t xml:space="preserve">    # Individual species options:</w:t>
      </w:r>
      <w:r>
        <w:br/>
      </w:r>
      <w:r>
        <w:rPr>
          <w:rStyle w:val="VerbatimChar"/>
        </w:rPr>
        <w:t xml:space="preserve">    S1.pos = {28, 35}                   # The position (x, y) of S1 in the layout.  By default, determined by autolayout.</w:t>
      </w:r>
      <w:r>
        <w:br/>
      </w:r>
      <w:r>
        <w:rPr>
          <w:rStyle w:val="VerbatimChar"/>
        </w:rPr>
        <w:t xml:space="preserve">    S1.x = 28                           # (alt for pos) The x position of S1.</w:t>
      </w:r>
      <w:r>
        <w:br/>
      </w:r>
      <w:r>
        <w:rPr>
          <w:rStyle w:val="VerbatimChar"/>
        </w:rPr>
        <w:t xml:space="preserve">    S1.y = 35                           # (alt for pos) The y position of S1.</w:t>
      </w:r>
      <w:r>
        <w:br/>
      </w:r>
      <w:r>
        <w:br/>
      </w:r>
      <w:r>
        <w:rPr>
          <w:rStyle w:val="VerbatimChar"/>
        </w:rPr>
        <w:t xml:space="preserve">    # Species options that override general species options:</w:t>
      </w:r>
      <w:r>
        <w:br/>
      </w:r>
      <w:r>
        <w:rPr>
          <w:rStyle w:val="VerbatimChar"/>
        </w:rPr>
        <w:t xml:space="preserve">    S1.size = {55, 66}      # The size (width, height) of S1.  </w:t>
      </w:r>
      <w:r>
        <w:br/>
      </w:r>
      <w:r>
        <w:rPr>
          <w:rStyle w:val="VerbatimChar"/>
        </w:rPr>
        <w:t xml:space="preserve">    S1.width = 55           # (alt for size). The width of S1.</w:t>
      </w:r>
      <w:r>
        <w:br/>
      </w:r>
      <w:r>
        <w:rPr>
          <w:rStyle w:val="VerbatimChar"/>
        </w:rPr>
        <w:t xml:space="preserve">    S1.height = 66          # (alt for size). The height of S1.</w:t>
      </w:r>
      <w:r>
        <w:br/>
      </w:r>
      <w:r>
        <w:rPr>
          <w:rStyle w:val="VerbatimChar"/>
        </w:rPr>
        <w:t xml:space="preserve">    S1.color = magenta      # (or 'fillcolor')  The fill color for S1</w:t>
      </w:r>
      <w:r>
        <w:br/>
      </w:r>
      <w:r>
        <w:rPr>
          <w:rStyle w:val="VerbatimChar"/>
        </w:rPr>
        <w:t xml:space="preserve">    S1.linecolor = yellow   # (or 'strokecolor')  The line color for S1</w:t>
      </w:r>
      <w:r>
        <w:br/>
      </w:r>
      <w:r>
        <w:rPr>
          <w:rStyle w:val="VerbatimChar"/>
        </w:rPr>
        <w:t xml:space="preserve">    S1.linewidth = 18       # (or 'strokewidth')  The linewidth for S1</w:t>
      </w:r>
      <w:r>
        <w:br/>
      </w:r>
      <w:r>
        <w:rPr>
          <w:rStyle w:val="VerbatimChar"/>
        </w:rPr>
        <w:t xml:space="preserve">    S1.fontcolor = gray     # The font color for S1</w:t>
      </w:r>
      <w:r>
        <w:br/>
      </w:r>
      <w:r>
        <w:rPr>
          <w:rStyle w:val="VerbatimChar"/>
        </w:rPr>
        <w:t xml:space="preserve">    S1.font = serif         # The font for S1 (predefined options are 'serif' (default), 'sans_serif', and 'monospace', but arbitrary font names are also legal.)</w:t>
      </w:r>
      <w:r>
        <w:br/>
      </w:r>
      <w:r>
        <w:rPr>
          <w:rStyle w:val="VerbatimChar"/>
        </w:rPr>
        <w:t xml:space="preserve">    S1.fontsize = 19        # The font size for S1 (default 10)</w:t>
      </w:r>
      <w:r>
        <w:br/>
      </w:r>
      <w:r>
        <w:rPr>
          <w:rStyle w:val="VerbatimChar"/>
        </w:rPr>
        <w:t xml:space="preserve">    S1.fontstyle = bold     # (or 'fontweight')  The font style for S1 (options are 'normal' (default), 'bold', 'italic', and 'bold_italic').</w:t>
      </w:r>
      <w:r>
        <w:br/>
      </w:r>
      <w:r>
        <w:rPr>
          <w:rStyle w:val="VerbatimChar"/>
        </w:rPr>
        <w:t xml:space="preserve">    S1.shape = ellipse      # The shape for S1 (options are 'rectangle' (default), 'square', 'ellipse', 'circle', 'triangle', 'diamond', 'pentagon', 'hexagon', and 'octagon').</w:t>
      </w:r>
      <w:r>
        <w:br/>
      </w:r>
      <w:r>
        <w:br/>
      </w:r>
      <w:r>
        <w:rPr>
          <w:rStyle w:val="VerbatimChar"/>
        </w:rPr>
        <w:t xml:space="preserve">    J0.S1.species_end = {28, 34} # The position of the outer (species-side) end of the line between 'S1' and 'J0' (where J0 is the central point of the reaction)</w:t>
      </w:r>
      <w:r>
        <w:br/>
      </w:r>
      <w:r>
        <w:rPr>
          <w:rStyle w:val="VerbatimChar"/>
        </w:rPr>
        <w:t xml:space="preserve">    J0.S1.b1  = {55, 31}         # The first control point for the line between S1 and J0.</w:t>
      </w:r>
      <w:r>
        <w:br/>
      </w:r>
      <w:r>
        <w:rPr>
          <w:rStyle w:val="VerbatimChar"/>
        </w:rPr>
        <w:t xml:space="preserve">    J0.S1.b2  = {58, 25}         # The second control point for the line between S1 and J0.</w:t>
      </w:r>
      <w:r>
        <w:br/>
      </w:r>
      <w:r>
        <w:rPr>
          <w:rStyle w:val="VerbatimChar"/>
        </w:rPr>
        <w:t xml:space="preserve">    J0.S1.rxn_end = {60, 24}     # The inner (reaction-side) end of the line between S1 and J0.  Usually not needed; the position is by default the position of the reaction itself.</w:t>
      </w:r>
      <w:r>
        <w:br/>
      </w:r>
      <w:r>
        <w:br/>
      </w:r>
      <w:r>
        <w:br/>
      </w:r>
      <w:r>
        <w:rPr>
          <w:rStyle w:val="VerbatimChar"/>
        </w:rPr>
        <w:t xml:space="preserve">    #Align example:</w:t>
      </w:r>
      <w:r>
        <w:br/>
      </w:r>
      <w:r>
        <w:rPr>
          <w:rStyle w:val="VerbatimChar"/>
        </w:rPr>
        <w:t xml:space="preserve">    S1-&gt;S2;</w:t>
      </w:r>
      <w:r>
        <w:br/>
      </w:r>
      <w:r>
        <w:rPr>
          <w:rStyle w:val="VerbatimChar"/>
        </w:rPr>
        <w:t xml:space="preserve">    S2-&gt;S3;</w:t>
      </w:r>
      <w:r>
        <w:br/>
      </w:r>
      <w:r>
        <w:rPr>
          <w:rStyle w:val="VerbatimChar"/>
        </w:rPr>
        <w:t xml:space="preserve">    S3-&gt;S4;</w:t>
      </w:r>
      <w:r>
        <w:br/>
      </w:r>
      <w:r>
        <w:rPr>
          <w:rStyle w:val="VerbatimChar"/>
        </w:rPr>
        <w:t xml:space="preserve">    S4-&gt;S5; </w:t>
      </w:r>
      <w:r>
        <w:br/>
      </w:r>
      <w:r>
        <w:br/>
      </w:r>
      <w:r>
        <w:rPr>
          <w:rStyle w:val="VerbatimChar"/>
        </w:rPr>
        <w:t xml:space="preserve">    model.layout.align_top = {S1, S2, S3}</w:t>
      </w:r>
      <w:r>
        <w:br/>
      </w:r>
      <w:r>
        <w:rPr>
          <w:rStyle w:val="VerbatimChar"/>
        </w:rPr>
        <w:t xml:space="preserve">    model.layout.align_right = {S3, S4, S5}</w:t>
      </w:r>
    </w:p>
    <w:bookmarkEnd w:id="89"/>
    <w:bookmarkEnd w:id="90"/>
    <w:bookmarkStart w:id="91"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1"/>
    <w:bookmarkStart w:id="95" w:name="further-reading"/>
    <w:p>
      <w:pPr>
        <w:pStyle w:val="Heading2"/>
      </w:pPr>
      <w:r>
        <w:t xml:space="preserve">Further Reading</w:t>
      </w:r>
    </w:p>
    <w:p>
      <w:pPr>
        <w:pStyle w:val="Compact"/>
        <w:numPr>
          <w:ilvl w:val="0"/>
          <w:numId w:val="1016"/>
        </w:numPr>
      </w:pPr>
      <w:r>
        <w:t xml:space="preserve">Lucian Smith’s</w:t>
      </w:r>
      <w:r>
        <w:t xml:space="preserve"> </w:t>
      </w:r>
      <w:hyperlink r:id="rId92">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3">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94">
        <w:r>
          <w:rPr>
            <w:rStyle w:val="Hyperlink"/>
          </w:rPr>
          <w:t xml:space="preserve">This manual</w:t>
        </w:r>
      </w:hyperlink>
      <w:r>
        <w:t xml:space="preserve"> </w:t>
      </w:r>
      <w:r>
        <w:t xml:space="preserve">in</w:t>
      </w:r>
      <w:r>
        <w:t xml:space="preserve"> </w:t>
      </w:r>
      <w:r>
        <w:t xml:space="preserve">PDF format.</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4"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94"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2026-08-15T01:06:09Z</dcterms:created>
  <dcterms:modified xsi:type="dcterms:W3CDTF">2026-08-15T01:06:09Z</dcterms:modified>
</cp:coreProperties>
</file>

<file path=docProps/custom.xml><?xml version="1.0" encoding="utf-8"?>
<Properties xmlns="http://schemas.openxmlformats.org/officeDocument/2006/custom-properties" xmlns:vt="http://schemas.openxmlformats.org/officeDocument/2006/docPropsVTypes"/>
</file>