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53BD" w:rsidRPr="00F5646A" w:rsidRDefault="00576312" w:rsidP="002E6ACD">
      <w:pPr>
        <w:pStyle w:val="Heading2"/>
      </w:pPr>
      <w:r>
        <w:t>Figure S1</w:t>
      </w:r>
      <w:r w:rsidR="004653BD" w:rsidRPr="00E93CA1">
        <w:t xml:space="preserve"> - Temporal profiles of active metabolite concentrations during simulation to steady state.</w:t>
      </w:r>
    </w:p>
    <w:p w:rsidR="004653BD" w:rsidRDefault="004653BD" w:rsidP="001668EA">
      <w:pPr>
        <w:spacing w:line="240" w:lineRule="auto"/>
        <w:jc w:val="both"/>
      </w:pPr>
      <w:r>
        <w:t xml:space="preserve">Solution of the governing ordinary differential equation system, characterized by parameters in Table 1, is treated as an initial </w:t>
      </w:r>
      <w:r w:rsidRPr="00DB4BE8">
        <w:t>value problem, with integration starting from biologically feasible initial</w:t>
      </w:r>
      <w:r>
        <w:t xml:space="preserve"> concentrations given in Table 2. The system of ordinary differential equations governing the enzyme-catalyzed and transporter-mediated kinetics is integrated over time until the concentrations of the metabolites reach steady state, i.e., do not effectively change with time. This figure shows the temporal evolution of several metabolite concentrations from non-zero initial concentrations. As mentioned in the text the steady state represented in this figure is referred to as the reference st</w:t>
      </w:r>
      <w:r w:rsidR="002E6ACD">
        <w:t>eady state or reference state.</w:t>
      </w:r>
    </w:p>
    <w:p w:rsidR="002E6ACD" w:rsidRDefault="002E6ACD" w:rsidP="004653BD">
      <w:pPr>
        <w:jc w:val="both"/>
      </w:pPr>
      <w:r>
        <w:rPr>
          <w:noProof/>
          <w:lang w:val="en-US"/>
        </w:rPr>
        <w:drawing>
          <wp:inline distT="0" distB="0" distL="0" distR="0">
            <wp:extent cx="5956350" cy="5143500"/>
            <wp:effectExtent l="19050" t="0" r="6300" b="0"/>
            <wp:docPr id="1" name="Picture 0" descr="final_Figur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igureS1.png"/>
                    <pic:cNvPicPr/>
                  </pic:nvPicPr>
                  <pic:blipFill>
                    <a:blip r:embed="rId5" cstate="print"/>
                    <a:srcRect r="10549"/>
                    <a:stretch>
                      <a:fillRect/>
                    </a:stretch>
                  </pic:blipFill>
                  <pic:spPr>
                    <a:xfrm>
                      <a:off x="0" y="0"/>
                      <a:ext cx="5958193" cy="5145091"/>
                    </a:xfrm>
                    <a:prstGeom prst="rect">
                      <a:avLst/>
                    </a:prstGeom>
                  </pic:spPr>
                </pic:pic>
              </a:graphicData>
            </a:graphic>
          </wp:inline>
        </w:drawing>
      </w:r>
    </w:p>
    <w:p w:rsidR="001668EA" w:rsidRDefault="001668EA">
      <w:pPr>
        <w:spacing w:after="200" w:line="276" w:lineRule="auto"/>
        <w:rPr>
          <w:b/>
          <w:bCs/>
          <w:sz w:val="22"/>
          <w:szCs w:val="28"/>
        </w:rPr>
      </w:pPr>
      <w:r>
        <w:br w:type="page"/>
      </w:r>
    </w:p>
    <w:p w:rsidR="004653BD" w:rsidRDefault="00576312" w:rsidP="002E6ACD">
      <w:pPr>
        <w:pStyle w:val="Heading2"/>
      </w:pPr>
      <w:r>
        <w:lastRenderedPageBreak/>
        <w:t>Figure S2</w:t>
      </w:r>
      <w:r w:rsidR="004653BD" w:rsidRPr="00E93CA1">
        <w:t xml:space="preserve"> - Temporal profile of linear starch linkage groups during simulation to steady state</w:t>
      </w:r>
      <w:r w:rsidR="004653BD">
        <w:t>.</w:t>
      </w:r>
    </w:p>
    <w:p w:rsidR="004653BD" w:rsidRDefault="002E6ACD" w:rsidP="001668EA">
      <w:pPr>
        <w:spacing w:line="240" w:lineRule="auto"/>
        <w:jc w:val="both"/>
      </w:pPr>
      <w:r>
        <w:t>L</w:t>
      </w:r>
      <w:r w:rsidR="004653BD">
        <w:t xml:space="preserve">inear starch linkage groups </w:t>
      </w:r>
      <w:r>
        <w:t xml:space="preserve">are </w:t>
      </w:r>
      <w:r w:rsidR="004653BD">
        <w:t>released by the action of the debranching enzyme. The initial concentration of these linear linkage groups is zero and the maximum concentration is 0.418 of total starch corresponding to the known accessible fraction of starch. The underlying formation kinetics of these linkage groups is therefore modeled in such a way (see footnote of Table 3) that the rate of formation drops to zero as its concentration reaches this limiting fraction. The total fixed starch concentration is 0.162 gm</w:t>
      </w:r>
      <w:r w:rsidR="004653BD">
        <w:rPr>
          <w:rFonts w:ascii="Cambria Math" w:hAnsi="Cambria Math" w:cs="Cambria Math"/>
        </w:rPr>
        <w:t>⋅</w:t>
      </w:r>
      <w:r w:rsidR="004653BD">
        <w:t>L</w:t>
      </w:r>
      <w:r w:rsidR="004653BD" w:rsidRPr="007C0068">
        <w:rPr>
          <w:vertAlign w:val="superscript"/>
        </w:rPr>
        <w:t>-1</w:t>
      </w:r>
      <w:r w:rsidR="004653BD">
        <w:t xml:space="preserve"> by virtue of the starch degree of polymerization (n=1667)</w:t>
      </w:r>
      <w:r w:rsidR="004653BD">
        <w:rPr>
          <w:vertAlign w:val="superscript"/>
        </w:rPr>
        <w:t xml:space="preserve"> </w:t>
      </w:r>
      <w:r w:rsidR="004653BD">
        <w:t>and molecular weight (0.27 gm</w:t>
      </w:r>
      <w:r w:rsidR="004653BD">
        <w:rPr>
          <w:rFonts w:ascii="Cambria Math" w:hAnsi="Cambria Math" w:cs="Cambria Math"/>
        </w:rPr>
        <w:t>⋅</w:t>
      </w:r>
      <w:r w:rsidR="004653BD">
        <w:t>µmole</w:t>
      </w:r>
      <w:r w:rsidR="004653BD" w:rsidRPr="007C0068">
        <w:rPr>
          <w:vertAlign w:val="superscript"/>
        </w:rPr>
        <w:t>-1</w:t>
      </w:r>
      <w:r w:rsidR="004653BD">
        <w:t>). The final value of the starch linear linkage group concentration should be 0.162 gm</w:t>
      </w:r>
      <w:r w:rsidR="004653BD">
        <w:rPr>
          <w:rFonts w:ascii="Cambria Math" w:hAnsi="Cambria Math" w:cs="Cambria Math"/>
        </w:rPr>
        <w:t>⋅</w:t>
      </w:r>
      <w:r w:rsidR="004653BD">
        <w:t xml:space="preserve"> L</w:t>
      </w:r>
      <w:r w:rsidR="004653BD" w:rsidRPr="00322FD2">
        <w:rPr>
          <w:vertAlign w:val="superscript"/>
        </w:rPr>
        <w:t>-1</w:t>
      </w:r>
      <w:r w:rsidR="004653BD">
        <w:t xml:space="preserve"> × 0.418 = 0.0677 gm</w:t>
      </w:r>
      <w:r w:rsidR="004653BD">
        <w:rPr>
          <w:rFonts w:ascii="Cambria Math" w:hAnsi="Cambria Math" w:cs="Cambria Math"/>
        </w:rPr>
        <w:t>⋅</w:t>
      </w:r>
      <w:r w:rsidR="004653BD">
        <w:t xml:space="preserve"> L</w:t>
      </w:r>
      <w:r w:rsidR="004653BD" w:rsidRPr="00322FD2">
        <w:rPr>
          <w:vertAlign w:val="superscript"/>
        </w:rPr>
        <w:t>-1</w:t>
      </w:r>
      <w:r w:rsidR="004653BD">
        <w:t>.</w:t>
      </w:r>
    </w:p>
    <w:p w:rsidR="001668EA" w:rsidRDefault="001668EA" w:rsidP="001668EA">
      <w:pPr>
        <w:spacing w:line="240" w:lineRule="auto"/>
        <w:jc w:val="both"/>
      </w:pPr>
    </w:p>
    <w:p w:rsidR="002E6ACD" w:rsidRDefault="002E6ACD" w:rsidP="002E6ACD">
      <w:pPr>
        <w:jc w:val="center"/>
      </w:pPr>
      <w:r>
        <w:rPr>
          <w:noProof/>
          <w:lang w:val="en-US"/>
        </w:rPr>
        <w:drawing>
          <wp:inline distT="0" distB="0" distL="0" distR="0">
            <wp:extent cx="5724525" cy="4940669"/>
            <wp:effectExtent l="19050" t="0" r="9525" b="0"/>
            <wp:docPr id="2" name="Picture 1" descr="final_Figur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igureS2.png"/>
                    <pic:cNvPicPr/>
                  </pic:nvPicPr>
                  <pic:blipFill>
                    <a:blip r:embed="rId6" cstate="print"/>
                    <a:srcRect r="10409"/>
                    <a:stretch>
                      <a:fillRect/>
                    </a:stretch>
                  </pic:blipFill>
                  <pic:spPr>
                    <a:xfrm>
                      <a:off x="0" y="0"/>
                      <a:ext cx="5724525" cy="4940669"/>
                    </a:xfrm>
                    <a:prstGeom prst="rect">
                      <a:avLst/>
                    </a:prstGeom>
                  </pic:spPr>
                </pic:pic>
              </a:graphicData>
            </a:graphic>
          </wp:inline>
        </w:drawing>
      </w:r>
    </w:p>
    <w:p w:rsidR="002E6ACD" w:rsidRDefault="002E6ACD">
      <w:pPr>
        <w:spacing w:after="200" w:line="276" w:lineRule="auto"/>
        <w:rPr>
          <w:b/>
          <w:bCs/>
          <w:sz w:val="22"/>
          <w:szCs w:val="28"/>
        </w:rPr>
      </w:pPr>
      <w:r>
        <w:br w:type="page"/>
      </w:r>
    </w:p>
    <w:p w:rsidR="00E34EA9" w:rsidRPr="002E6ACD" w:rsidRDefault="002E6ACD" w:rsidP="002E6ACD">
      <w:pPr>
        <w:pStyle w:val="Heading2"/>
      </w:pPr>
      <w:r w:rsidRPr="002E6ACD">
        <w:lastRenderedPageBreak/>
        <w:t xml:space="preserve">Figure S3 – Illustration of tetragonal symmetry </w:t>
      </w:r>
      <w:r w:rsidR="00FC2599">
        <w:t xml:space="preserve">in the steady state distance matrix </w:t>
      </w:r>
      <w:r w:rsidRPr="002E6ACD">
        <w:t xml:space="preserve">and its relevance to points in metabolite concentration space @ </w:t>
      </w:r>
      <w:r w:rsidR="00FC2599">
        <w:t xml:space="preserve">C = </w:t>
      </w:r>
      <w:r w:rsidRPr="002E6ACD">
        <w:t>10</w:t>
      </w:r>
      <w:r w:rsidRPr="002E6ACD">
        <w:rPr>
          <w:vertAlign w:val="superscript"/>
        </w:rPr>
        <w:t>-16</w:t>
      </w:r>
      <w:r w:rsidRPr="002E6ACD">
        <w:t xml:space="preserve"> (μM</w:t>
      </w:r>
      <w:r w:rsidRPr="002E6ACD">
        <w:rPr>
          <w:rFonts w:ascii="Cambria Math" w:hAnsi="Cambria Math" w:cs="Cambria Math"/>
        </w:rPr>
        <w:t>⋅</w:t>
      </w:r>
      <w:r w:rsidRPr="002E6ACD">
        <w:t>s</w:t>
      </w:r>
      <w:r w:rsidRPr="002E6ACD">
        <w:rPr>
          <w:vertAlign w:val="superscript"/>
        </w:rPr>
        <w:t>-1</w:t>
      </w:r>
      <w:r w:rsidRPr="002E6ACD">
        <w:t>)</w:t>
      </w:r>
      <w:r w:rsidRPr="002E6ACD">
        <w:rPr>
          <w:rFonts w:ascii="Cambria Math" w:hAnsi="Cambria Math" w:cs="Cambria Math"/>
        </w:rPr>
        <w:t>⋅</w:t>
      </w:r>
      <w:r w:rsidRPr="002E6ACD">
        <w:t>μM</w:t>
      </w:r>
      <w:r w:rsidRPr="002E6ACD">
        <w:rPr>
          <w:vertAlign w:val="superscript"/>
        </w:rPr>
        <w:t>-1</w:t>
      </w:r>
      <w:r w:rsidRPr="002E6ACD">
        <w:t>.</w:t>
      </w:r>
    </w:p>
    <w:p w:rsidR="002E6ACD" w:rsidRDefault="00FC2599" w:rsidP="001668EA">
      <w:pPr>
        <w:spacing w:line="240" w:lineRule="auto"/>
        <w:jc w:val="both"/>
      </w:pPr>
      <w:r>
        <w:t>The corners of the parallele</w:t>
      </w:r>
      <w:r w:rsidR="002E6ACD">
        <w:t xml:space="preserve">piped represent the eight points in metabolite concentration space analyzed in </w:t>
      </w:r>
      <w:r>
        <w:t>Table</w:t>
      </w:r>
      <w:r w:rsidR="002E6ACD">
        <w:t xml:space="preserve"> 8 of the manuscript</w:t>
      </w:r>
      <w:r w:rsidR="006267B2">
        <w:t>, and are numbered accordingly</w:t>
      </w:r>
      <w:r w:rsidR="002E6ACD">
        <w:t>. The points are determined by three factors: the fixed concentrations of ADP and glucose-6-phosphate, which are external metabolites in the model presented, and the sum of arabinogalactan and glucosylated arabinogalactan concentrations, which is also a conserved quantity in the simulations. Although the range of the sum AG + GlcAG (2000 – 1000.1 = 999.9) present in the eight centroids discussed is the same as that for ADP and Glc6P (1000 – 0.1 = 999.9), the actual positions of the points in the 14-dimensional space of metabolites is dictated by the particular values of AG and GlcAG</w:t>
      </w:r>
      <w:r w:rsidR="006267B2">
        <w:t>, which fall into two pairs (822.57 + 177.53 and 1677.08 + 322.92, see Table 8)</w:t>
      </w:r>
      <w:r w:rsidR="002E6ACD">
        <w:t xml:space="preserve">; thus, the symmetry </w:t>
      </w:r>
      <w:r w:rsidR="006267B2">
        <w:t>is only</w:t>
      </w:r>
      <w:r w:rsidR="002E6ACD">
        <w:t xml:space="preserve"> tetragonal.</w:t>
      </w:r>
      <w:r w:rsidR="006267B2">
        <w:t xml:space="preserve"> We have distinguished this subtlety from the simple sum as {AG,GlcAG}</w:t>
      </w:r>
      <w:r w:rsidR="006267B2" w:rsidRPr="006267B2">
        <w:rPr>
          <w:vertAlign w:val="superscript"/>
        </w:rPr>
        <w:t>+</w:t>
      </w:r>
      <w:r w:rsidR="006267B2">
        <w:t xml:space="preserve"> in the figure. The five lines of equivalent distances in the upper part of the figure correlate with the five colors seen in the </w:t>
      </w:r>
      <w:r>
        <w:t>upper triangular</w:t>
      </w:r>
      <w:r w:rsidR="006267B2">
        <w:t xml:space="preserve"> region of the distance matrix of Figure 14.</w:t>
      </w:r>
    </w:p>
    <w:p w:rsidR="001668EA" w:rsidRDefault="001668EA" w:rsidP="001668EA">
      <w:pPr>
        <w:spacing w:line="240" w:lineRule="auto"/>
      </w:pPr>
    </w:p>
    <w:p w:rsidR="001668EA" w:rsidRDefault="001668EA" w:rsidP="001668EA">
      <w:pPr>
        <w:jc w:val="center"/>
      </w:pPr>
      <w:r>
        <w:rPr>
          <w:noProof/>
          <w:lang w:val="en-US"/>
        </w:rPr>
        <w:drawing>
          <wp:inline distT="0" distB="0" distL="0" distR="0">
            <wp:extent cx="4638675" cy="5194206"/>
            <wp:effectExtent l="19050" t="0" r="0" b="0"/>
            <wp:docPr id="3" name="Picture 2" descr="final_Figur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igureS3.png"/>
                    <pic:cNvPicPr/>
                  </pic:nvPicPr>
                  <pic:blipFill>
                    <a:blip r:embed="rId7" cstate="print"/>
                    <a:stretch>
                      <a:fillRect/>
                    </a:stretch>
                  </pic:blipFill>
                  <pic:spPr>
                    <a:xfrm>
                      <a:off x="0" y="0"/>
                      <a:ext cx="4644855" cy="5201126"/>
                    </a:xfrm>
                    <a:prstGeom prst="rect">
                      <a:avLst/>
                    </a:prstGeom>
                  </pic:spPr>
                </pic:pic>
              </a:graphicData>
            </a:graphic>
          </wp:inline>
        </w:drawing>
      </w:r>
    </w:p>
    <w:p w:rsidR="00BE7CD8" w:rsidRPr="00910817" w:rsidRDefault="00BE7CD8" w:rsidP="00BE7CD8">
      <w:pPr>
        <w:rPr>
          <w:rFonts w:eastAsiaTheme="minorEastAsia"/>
          <w:b/>
        </w:rPr>
      </w:pPr>
      <w:r>
        <w:rPr>
          <w:rFonts w:eastAsiaTheme="minorEastAsia"/>
          <w:b/>
        </w:rPr>
        <w:lastRenderedPageBreak/>
        <w:t xml:space="preserve">Rate equations of the </w:t>
      </w:r>
      <w:r w:rsidRPr="00910817">
        <w:rPr>
          <w:rFonts w:eastAsiaTheme="minorEastAsia"/>
          <w:b/>
        </w:rPr>
        <w:t>variable metabolite species in the model in terms of reaction fluxes</w:t>
      </w:r>
    </w:p>
    <w:p w:rsidR="00BE7CD8" w:rsidRPr="00C12B85" w:rsidRDefault="00A20786" w:rsidP="00BE7CD8">
      <w:pPr>
        <w:rPr>
          <w:rFonts w:ascii="Arial" w:eastAsiaTheme="minorEastAsia" w:hAnsi="Arial" w:cs="Arial"/>
        </w:rPr>
      </w:pPr>
      <m:oMathPara>
        <m:oMath>
          <m:f>
            <m:fPr>
              <m:ctrlPr>
                <w:rPr>
                  <w:rFonts w:ascii="Cambria Math" w:hAnsi="Arial" w:cs="Arial"/>
                  <w:i/>
                </w:rPr>
              </m:ctrlPr>
            </m:fPr>
            <m:num>
              <m:r>
                <w:rPr>
                  <w:rFonts w:ascii="Cambria Math" w:hAnsi="Cambria Math" w:cs="Arial"/>
                </w:rPr>
                <m:t>d</m:t>
              </m:r>
              <m:r>
                <w:rPr>
                  <w:rFonts w:ascii="Cambria Math" w:hAnsi="Arial" w:cs="Arial"/>
                </w:rPr>
                <m:t>[</m:t>
              </m:r>
              <m:r>
                <w:rPr>
                  <w:rFonts w:ascii="Cambria Math" w:hAnsi="Cambria Math" w:cs="Arial"/>
                </w:rPr>
                <m:t>Maltose</m:t>
              </m:r>
              <m:r>
                <w:rPr>
                  <w:rFonts w:ascii="Cambria Math" w:hAnsi="Arial" w:cs="Arial"/>
                </w:rPr>
                <m:t>_</m:t>
              </m:r>
              <m:r>
                <w:rPr>
                  <w:rFonts w:ascii="Cambria Math" w:hAnsi="Cambria Math" w:cs="Arial"/>
                </w:rPr>
                <m:t>CY</m:t>
              </m:r>
              <m:r>
                <w:rPr>
                  <w:rFonts w:ascii="Cambria Math" w:hAnsi="Arial" w:cs="Arial"/>
                </w:rPr>
                <m:t>]</m:t>
              </m:r>
            </m:num>
            <m:den>
              <m:r>
                <w:rPr>
                  <w:rFonts w:ascii="Cambria Math" w:hAnsi="Cambria Math" w:cs="Arial"/>
                </w:rPr>
                <m:t>dt</m:t>
              </m:r>
            </m:den>
          </m:f>
          <m:r>
            <w:rPr>
              <w:rFonts w:ascii="Cambria Math" w:hAnsi="Arial" w:cs="Arial"/>
            </w:rPr>
            <m:t>=</m:t>
          </m:r>
          <m:sSub>
            <m:sSubPr>
              <m:ctrlPr>
                <w:rPr>
                  <w:rFonts w:ascii="Cambria Math" w:hAnsi="Arial" w:cs="Arial"/>
                  <w:i/>
                </w:rPr>
              </m:ctrlPr>
            </m:sSubPr>
            <m:e>
              <m:r>
                <w:rPr>
                  <w:rFonts w:ascii="Cambria Math" w:hAnsi="Cambria Math" w:cs="Arial"/>
                </w:rPr>
                <m:t>ν</m:t>
              </m:r>
            </m:e>
            <m:sub>
              <m:r>
                <w:rPr>
                  <w:rFonts w:ascii="Cambria Math" w:hAnsi="Cambria Math" w:cs="Arial"/>
                </w:rPr>
                <m:t>MEX</m:t>
              </m:r>
            </m:sub>
          </m:sSub>
          <m:r>
            <w:rPr>
              <w:rFonts w:ascii="Arial" w:hAnsi="Arial" w:cs="Arial"/>
            </w:rPr>
            <m:t>-</m:t>
          </m:r>
          <m:sSub>
            <m:sSubPr>
              <m:ctrlPr>
                <w:rPr>
                  <w:rFonts w:ascii="Cambria Math" w:hAnsi="Arial" w:cs="Arial"/>
                  <w:i/>
                </w:rPr>
              </m:ctrlPr>
            </m:sSubPr>
            <m:e>
              <m:r>
                <w:rPr>
                  <w:rFonts w:ascii="Cambria Math" w:hAnsi="Cambria Math" w:cs="Arial"/>
                </w:rPr>
                <m:t>ν</m:t>
              </m:r>
            </m:e>
            <m:sub>
              <m:r>
                <w:rPr>
                  <w:rFonts w:ascii="Cambria Math" w:hAnsi="Cambria Math" w:cs="Arial"/>
                </w:rPr>
                <m:t>DPE</m:t>
              </m:r>
              <m:r>
                <w:rPr>
                  <w:rFonts w:ascii="Cambria Math" w:hAnsi="Arial" w:cs="Arial"/>
                </w:rPr>
                <m:t>2</m:t>
              </m:r>
            </m:sub>
          </m:sSub>
        </m:oMath>
      </m:oMathPara>
    </w:p>
    <w:p w:rsidR="00BE7CD8" w:rsidRPr="00C12B85" w:rsidRDefault="00A20786" w:rsidP="00BE7CD8">
      <w:pPr>
        <w:rPr>
          <w:rFonts w:ascii="Arial" w:eastAsiaTheme="minorEastAsia" w:hAnsi="Arial" w:cs="Arial"/>
        </w:rPr>
      </w:pPr>
      <m:oMathPara>
        <m:oMath>
          <m:f>
            <m:fPr>
              <m:ctrlPr>
                <w:rPr>
                  <w:rFonts w:ascii="Cambria Math" w:hAnsi="Arial" w:cs="Arial"/>
                  <w:i/>
                </w:rPr>
              </m:ctrlPr>
            </m:fPr>
            <m:num>
              <m:r>
                <w:rPr>
                  <w:rFonts w:ascii="Cambria Math" w:hAnsi="Cambria Math" w:cs="Arial"/>
                </w:rPr>
                <m:t>d</m:t>
              </m:r>
              <m:r>
                <w:rPr>
                  <w:rFonts w:ascii="Cambria Math" w:hAnsi="Arial" w:cs="Arial"/>
                </w:rPr>
                <m:t>[</m:t>
              </m:r>
              <m:r>
                <w:rPr>
                  <w:rFonts w:ascii="Cambria Math" w:hAnsi="Cambria Math" w:cs="Arial"/>
                </w:rPr>
                <m:t>Maltose</m:t>
              </m:r>
              <m:r>
                <w:rPr>
                  <w:rFonts w:ascii="Cambria Math" w:hAnsi="Arial" w:cs="Arial"/>
                </w:rPr>
                <m:t>_</m:t>
              </m:r>
              <m:r>
                <w:rPr>
                  <w:rFonts w:ascii="Cambria Math" w:hAnsi="Cambria Math" w:cs="Arial"/>
                </w:rPr>
                <m:t>CS</m:t>
              </m:r>
              <m:r>
                <w:rPr>
                  <w:rFonts w:ascii="Cambria Math" w:hAnsi="Arial" w:cs="Arial"/>
                </w:rPr>
                <m:t>]</m:t>
              </m:r>
            </m:num>
            <m:den>
              <m:r>
                <w:rPr>
                  <w:rFonts w:ascii="Cambria Math" w:hAnsi="Cambria Math" w:cs="Arial"/>
                </w:rPr>
                <m:t>dt</m:t>
              </m:r>
            </m:den>
          </m:f>
          <m:r>
            <w:rPr>
              <w:rFonts w:ascii="Cambria Math" w:hAnsi="Arial" w:cs="Arial"/>
            </w:rPr>
            <m:t>=</m:t>
          </m:r>
          <m:sSub>
            <m:sSubPr>
              <m:ctrlPr>
                <w:rPr>
                  <w:rFonts w:ascii="Cambria Math" w:hAnsi="Arial" w:cs="Arial"/>
                  <w:i/>
                </w:rPr>
              </m:ctrlPr>
            </m:sSubPr>
            <m:e>
              <m:r>
                <w:rPr>
                  <w:rFonts w:ascii="Cambria Math" w:hAnsi="Cambria Math" w:cs="Arial"/>
                </w:rPr>
                <m:t>fc</m:t>
              </m:r>
            </m:e>
            <m:sub>
              <m:r>
                <w:rPr>
                  <w:rFonts w:ascii="Cambria Math" w:hAnsi="Cambria Math" w:cs="Arial"/>
                </w:rPr>
                <m:t>G</m:t>
              </m:r>
              <m:r>
                <w:rPr>
                  <w:rFonts w:ascii="Cambria Math" w:hAnsi="Arial" w:cs="Arial"/>
                </w:rPr>
                <m:t>2</m:t>
              </m:r>
            </m:sub>
          </m:sSub>
          <m:sSub>
            <m:sSubPr>
              <m:ctrlPr>
                <w:rPr>
                  <w:rFonts w:ascii="Cambria Math" w:hAnsi="Arial" w:cs="Arial"/>
                  <w:i/>
                </w:rPr>
              </m:ctrlPr>
            </m:sSubPr>
            <m:e>
              <m:r>
                <w:rPr>
                  <w:rFonts w:ascii="Cambria Math" w:hAnsi="Cambria Math" w:cs="Arial"/>
                </w:rPr>
                <m:t>v</m:t>
              </m:r>
            </m:e>
            <m:sub>
              <m:r>
                <w:rPr>
                  <w:rFonts w:ascii="Cambria Math" w:hAnsi="Cambria Math" w:cs="Arial"/>
                </w:rPr>
                <m:t>M</m:t>
              </m:r>
              <m:r>
                <w:rPr>
                  <w:rFonts w:ascii="Cambria Math" w:hAnsi="Arial" w:cs="Arial"/>
                </w:rPr>
                <m:t>,</m:t>
              </m:r>
              <m:r>
                <w:rPr>
                  <w:rFonts w:ascii="Cambria Math" w:hAnsi="Cambria Math" w:cs="Arial"/>
                </w:rPr>
                <m:t>β</m:t>
              </m:r>
              <m:r>
                <w:rPr>
                  <w:rFonts w:ascii="Arial" w:hAnsi="Arial" w:cs="Arial"/>
                </w:rPr>
                <m:t>-</m:t>
              </m:r>
              <m:r>
                <w:rPr>
                  <w:rFonts w:ascii="Cambria Math" w:hAnsi="Cambria Math" w:cs="Arial"/>
                </w:rPr>
                <m:t>amylase</m:t>
              </m:r>
            </m:sub>
          </m:sSub>
          <m:r>
            <w:rPr>
              <w:rFonts w:ascii="Cambria Math" w:hAnsi="Arial" w:cs="Arial"/>
            </w:rPr>
            <m:t xml:space="preserve">+ </m:t>
          </m:r>
          <m:sSub>
            <m:sSubPr>
              <m:ctrlPr>
                <w:rPr>
                  <w:rFonts w:ascii="Cambria Math" w:hAnsi="Arial" w:cs="Arial"/>
                  <w:i/>
                </w:rPr>
              </m:ctrlPr>
            </m:sSubPr>
            <m:e>
              <m:r>
                <w:rPr>
                  <w:rFonts w:ascii="Cambria Math" w:hAnsi="Cambria Math" w:cs="Arial"/>
                </w:rPr>
                <m:t>fc</m:t>
              </m:r>
            </m:e>
            <m:sub>
              <m:r>
                <w:rPr>
                  <w:rFonts w:ascii="Cambria Math" w:hAnsi="Cambria Math" w:cs="Arial"/>
                </w:rPr>
                <m:t>G</m:t>
              </m:r>
              <m:r>
                <w:rPr>
                  <w:rFonts w:ascii="Cambria Math" w:hAnsi="Arial" w:cs="Arial"/>
                </w:rPr>
                <m:t>2</m:t>
              </m:r>
            </m:sub>
          </m:sSub>
          <m:sSub>
            <m:sSubPr>
              <m:ctrlPr>
                <w:rPr>
                  <w:rFonts w:ascii="Cambria Math" w:hAnsi="Arial" w:cs="Arial"/>
                  <w:i/>
                </w:rPr>
              </m:ctrlPr>
            </m:sSubPr>
            <m:e>
              <m:r>
                <w:rPr>
                  <w:rFonts w:ascii="Cambria Math" w:hAnsi="Cambria Math" w:cs="Arial"/>
                </w:rPr>
                <m:t>v</m:t>
              </m:r>
            </m:e>
            <m:sub>
              <m:r>
                <w:rPr>
                  <w:rFonts w:ascii="Cambria Math" w:hAnsi="Cambria Math" w:cs="Arial"/>
                </w:rPr>
                <m:t>G</m:t>
              </m:r>
              <m:r>
                <w:rPr>
                  <w:rFonts w:ascii="Cambria Math" w:hAnsi="Arial" w:cs="Arial"/>
                </w:rPr>
                <m:t>5,</m:t>
              </m:r>
              <m:r>
                <w:rPr>
                  <w:rFonts w:ascii="Cambria Math" w:hAnsi="Cambria Math" w:cs="Arial"/>
                </w:rPr>
                <m:t>β</m:t>
              </m:r>
              <m:r>
                <w:rPr>
                  <w:rFonts w:ascii="Arial" w:hAnsi="Arial" w:cs="Arial"/>
                </w:rPr>
                <m:t>-</m:t>
              </m:r>
              <m:r>
                <w:rPr>
                  <w:rFonts w:ascii="Cambria Math" w:hAnsi="Cambria Math" w:cs="Arial"/>
                </w:rPr>
                <m:t>amylase</m:t>
              </m:r>
            </m:sub>
          </m:sSub>
          <m:r>
            <w:rPr>
              <w:rFonts w:ascii="Arial" w:hAnsi="Arial" w:cs="Arial"/>
            </w:rPr>
            <m:t>-</m:t>
          </m:r>
          <m:r>
            <w:rPr>
              <w:rFonts w:ascii="Cambria Math" w:hAnsi="Arial" w:cs="Arial"/>
            </w:rPr>
            <m:t xml:space="preserve"> </m:t>
          </m:r>
          <m:sSub>
            <m:sSubPr>
              <m:ctrlPr>
                <w:rPr>
                  <w:rFonts w:ascii="Cambria Math" w:hAnsi="Arial" w:cs="Arial"/>
                  <w:i/>
                </w:rPr>
              </m:ctrlPr>
            </m:sSubPr>
            <m:e>
              <m:r>
                <w:rPr>
                  <w:rFonts w:ascii="Cambria Math" w:hAnsi="Cambria Math" w:cs="Arial"/>
                </w:rPr>
                <m:t>ν</m:t>
              </m:r>
            </m:e>
            <m:sub>
              <m:r>
                <w:rPr>
                  <w:rFonts w:ascii="Cambria Math" w:hAnsi="Cambria Math" w:cs="Arial"/>
                </w:rPr>
                <m:t>MEX</m:t>
              </m:r>
            </m:sub>
          </m:sSub>
        </m:oMath>
      </m:oMathPara>
    </w:p>
    <w:p w:rsidR="00BE7CD8" w:rsidRPr="00C12B85" w:rsidRDefault="00A20786" w:rsidP="00BE7CD8">
      <w:pPr>
        <w:rPr>
          <w:rFonts w:ascii="Arial" w:eastAsiaTheme="minorEastAsia" w:hAnsi="Arial" w:cs="Arial"/>
        </w:rPr>
      </w:pPr>
      <m:oMathPara>
        <m:oMath>
          <m:f>
            <m:fPr>
              <m:ctrlPr>
                <w:rPr>
                  <w:rFonts w:ascii="Cambria Math" w:hAnsi="Arial" w:cs="Arial"/>
                  <w:i/>
                </w:rPr>
              </m:ctrlPr>
            </m:fPr>
            <m:num>
              <m:r>
                <w:rPr>
                  <w:rFonts w:ascii="Cambria Math" w:hAnsi="Cambria Math" w:cs="Arial"/>
                </w:rPr>
                <m:t>d</m:t>
              </m:r>
              <m:r>
                <w:rPr>
                  <w:rFonts w:ascii="Cambria Math" w:hAnsi="Arial" w:cs="Arial"/>
                </w:rPr>
                <m:t>[</m:t>
              </m:r>
              <m:r>
                <w:rPr>
                  <w:rFonts w:ascii="Cambria Math" w:hAnsi="Cambria Math" w:cs="Arial"/>
                </w:rPr>
                <m:t>Maltotriose</m:t>
              </m:r>
              <m:r>
                <w:rPr>
                  <w:rFonts w:ascii="Cambria Math" w:hAnsi="Arial" w:cs="Arial"/>
                </w:rPr>
                <m:t>_</m:t>
              </m:r>
              <m:r>
                <w:rPr>
                  <w:rFonts w:ascii="Cambria Math" w:hAnsi="Cambria Math" w:cs="Arial"/>
                </w:rPr>
                <m:t>CS</m:t>
              </m:r>
              <m:r>
                <w:rPr>
                  <w:rFonts w:ascii="Cambria Math" w:hAnsi="Arial" w:cs="Arial"/>
                </w:rPr>
                <m:t>]</m:t>
              </m:r>
            </m:num>
            <m:den>
              <m:r>
                <w:rPr>
                  <w:rFonts w:ascii="Cambria Math" w:hAnsi="Cambria Math" w:cs="Arial"/>
                </w:rPr>
                <m:t>dt</m:t>
              </m:r>
            </m:den>
          </m:f>
          <m:r>
            <w:rPr>
              <w:rFonts w:ascii="Cambria Math" w:hAnsi="Arial" w:cs="Arial"/>
            </w:rPr>
            <m:t xml:space="preserve">= </m:t>
          </m:r>
          <m:sSub>
            <m:sSubPr>
              <m:ctrlPr>
                <w:rPr>
                  <w:rFonts w:ascii="Cambria Math" w:hAnsi="Arial" w:cs="Arial"/>
                  <w:i/>
                </w:rPr>
              </m:ctrlPr>
            </m:sSubPr>
            <m:e>
              <m:r>
                <w:rPr>
                  <w:rFonts w:ascii="Cambria Math" w:hAnsi="Cambria Math" w:cs="Arial"/>
                </w:rPr>
                <m:t>fc</m:t>
              </m:r>
            </m:e>
            <m:sub>
              <m:r>
                <w:rPr>
                  <w:rFonts w:ascii="Cambria Math" w:hAnsi="Cambria Math" w:cs="Arial"/>
                </w:rPr>
                <m:t>G</m:t>
              </m:r>
              <m:r>
                <w:rPr>
                  <w:rFonts w:ascii="Cambria Math" w:hAnsi="Arial" w:cs="Arial"/>
                </w:rPr>
                <m:t>3</m:t>
              </m:r>
            </m:sub>
          </m:sSub>
          <m:sSub>
            <m:sSubPr>
              <m:ctrlPr>
                <w:rPr>
                  <w:rFonts w:ascii="Cambria Math" w:hAnsi="Arial" w:cs="Arial"/>
                  <w:i/>
                </w:rPr>
              </m:ctrlPr>
            </m:sSubPr>
            <m:e>
              <m:r>
                <w:rPr>
                  <w:rFonts w:ascii="Cambria Math" w:hAnsi="Cambria Math" w:cs="Arial"/>
                </w:rPr>
                <m:t>v</m:t>
              </m:r>
            </m:e>
            <m:sub>
              <m:r>
                <w:rPr>
                  <w:rFonts w:ascii="Cambria Math" w:hAnsi="Arial" w:cs="Arial"/>
                </w:rPr>
                <m:t>G3,</m:t>
              </m:r>
              <m:r>
                <w:rPr>
                  <w:rFonts w:ascii="Cambria Math" w:hAnsi="Cambria Math" w:cs="Arial"/>
                </w:rPr>
                <m:t>β</m:t>
              </m:r>
              <m:r>
                <w:rPr>
                  <w:rFonts w:ascii="Arial" w:hAnsi="Arial" w:cs="Arial"/>
                </w:rPr>
                <m:t>-</m:t>
              </m:r>
              <m:r>
                <w:rPr>
                  <w:rFonts w:ascii="Cambria Math" w:hAnsi="Cambria Math" w:cs="Arial"/>
                </w:rPr>
                <m:t>amylase</m:t>
              </m:r>
            </m:sub>
          </m:sSub>
          <m:r>
            <w:rPr>
              <w:rFonts w:ascii="Cambria Math" w:hAnsi="Arial" w:cs="Arial"/>
            </w:rPr>
            <m:t xml:space="preserve">+ </m:t>
          </m:r>
          <m:sSub>
            <m:sSubPr>
              <m:ctrlPr>
                <w:rPr>
                  <w:rFonts w:ascii="Cambria Math" w:hAnsi="Arial" w:cs="Arial"/>
                  <w:i/>
                </w:rPr>
              </m:ctrlPr>
            </m:sSubPr>
            <m:e>
              <m:r>
                <w:rPr>
                  <w:rFonts w:ascii="Cambria Math" w:hAnsi="Cambria Math" w:cs="Arial"/>
                </w:rPr>
                <m:t>fc</m:t>
              </m:r>
            </m:e>
            <m:sub>
              <m:r>
                <w:rPr>
                  <w:rFonts w:ascii="Cambria Math" w:hAnsi="Cambria Math" w:cs="Arial"/>
                </w:rPr>
                <m:t>G</m:t>
              </m:r>
              <m:r>
                <w:rPr>
                  <w:rFonts w:ascii="Cambria Math" w:hAnsi="Arial" w:cs="Arial"/>
                </w:rPr>
                <m:t>3</m:t>
              </m:r>
            </m:sub>
          </m:sSub>
          <m:sSub>
            <m:sSubPr>
              <m:ctrlPr>
                <w:rPr>
                  <w:rFonts w:ascii="Cambria Math" w:hAnsi="Arial" w:cs="Arial"/>
                  <w:i/>
                </w:rPr>
              </m:ctrlPr>
            </m:sSubPr>
            <m:e>
              <m:r>
                <w:rPr>
                  <w:rFonts w:ascii="Cambria Math" w:hAnsi="Cambria Math" w:cs="Arial"/>
                </w:rPr>
                <m:t>v</m:t>
              </m:r>
            </m:e>
            <m:sub>
              <m:r>
                <w:rPr>
                  <w:rFonts w:ascii="Cambria Math" w:hAnsi="Cambria Math" w:cs="Arial"/>
                </w:rPr>
                <m:t>G</m:t>
              </m:r>
              <m:r>
                <w:rPr>
                  <w:rFonts w:ascii="Cambria Math" w:hAnsi="Arial" w:cs="Arial"/>
                </w:rPr>
                <m:t>5,</m:t>
              </m:r>
              <m:r>
                <w:rPr>
                  <w:rFonts w:ascii="Cambria Math" w:hAnsi="Cambria Math" w:cs="Arial"/>
                </w:rPr>
                <m:t>β</m:t>
              </m:r>
              <m:r>
                <w:rPr>
                  <w:rFonts w:ascii="Arial" w:hAnsi="Arial" w:cs="Arial"/>
                </w:rPr>
                <m:t>-</m:t>
              </m:r>
              <m:r>
                <w:rPr>
                  <w:rFonts w:ascii="Cambria Math" w:hAnsi="Cambria Math" w:cs="Arial"/>
                </w:rPr>
                <m:t>amylase</m:t>
              </m:r>
            </m:sub>
          </m:sSub>
          <m:r>
            <w:rPr>
              <w:rFonts w:ascii="Arial" w:hAnsi="Arial" w:cs="Arial"/>
            </w:rPr>
            <m:t>-</m:t>
          </m:r>
          <m:r>
            <w:rPr>
              <w:rFonts w:ascii="Cambria Math" w:hAnsi="Arial" w:cs="Arial"/>
            </w:rPr>
            <m:t>2</m:t>
          </m:r>
          <m:sSub>
            <m:sSubPr>
              <m:ctrlPr>
                <w:rPr>
                  <w:rFonts w:ascii="Cambria Math" w:hAnsi="Arial" w:cs="Arial"/>
                  <w:i/>
                </w:rPr>
              </m:ctrlPr>
            </m:sSubPr>
            <m:e>
              <m:r>
                <w:rPr>
                  <w:rFonts w:ascii="Cambria Math" w:hAnsi="Cambria Math" w:cs="Arial"/>
                </w:rPr>
                <m:t>ν</m:t>
              </m:r>
            </m:e>
            <m:sub>
              <m:r>
                <w:rPr>
                  <w:rFonts w:ascii="Cambria Math" w:hAnsi="Cambria Math" w:cs="Arial"/>
                </w:rPr>
                <m:t>DPE</m:t>
              </m:r>
              <m:r>
                <w:rPr>
                  <w:rFonts w:ascii="Cambria Math" w:hAnsi="Arial" w:cs="Arial"/>
                </w:rPr>
                <m:t>1</m:t>
              </m:r>
            </m:sub>
          </m:sSub>
        </m:oMath>
      </m:oMathPara>
    </w:p>
    <w:p w:rsidR="00BE7CD8" w:rsidRPr="00C12B85" w:rsidRDefault="00A20786" w:rsidP="00BE7CD8">
      <w:pPr>
        <w:rPr>
          <w:rFonts w:ascii="Arial" w:eastAsiaTheme="minorEastAsia" w:hAnsi="Arial" w:cs="Arial"/>
        </w:rPr>
      </w:pPr>
      <m:oMathPara>
        <m:oMath>
          <m:f>
            <m:fPr>
              <m:ctrlPr>
                <w:rPr>
                  <w:rFonts w:ascii="Cambria Math" w:hAnsi="Arial" w:cs="Arial"/>
                  <w:i/>
                </w:rPr>
              </m:ctrlPr>
            </m:fPr>
            <m:num>
              <m:r>
                <w:rPr>
                  <w:rFonts w:ascii="Cambria Math" w:hAnsi="Cambria Math" w:cs="Arial"/>
                </w:rPr>
                <m:t>d</m:t>
              </m:r>
              <m:r>
                <w:rPr>
                  <w:rFonts w:ascii="Cambria Math" w:hAnsi="Arial" w:cs="Arial"/>
                </w:rPr>
                <m:t>[</m:t>
              </m:r>
              <m:r>
                <w:rPr>
                  <w:rFonts w:ascii="Cambria Math" w:hAnsi="Cambria Math" w:cs="Arial"/>
                </w:rPr>
                <m:t>Maltopentaose</m:t>
              </m:r>
              <m:r>
                <w:rPr>
                  <w:rFonts w:ascii="Cambria Math" w:hAnsi="Arial" w:cs="Arial"/>
                </w:rPr>
                <m:t>_</m:t>
              </m:r>
              <m:r>
                <w:rPr>
                  <w:rFonts w:ascii="Cambria Math" w:hAnsi="Cambria Math" w:cs="Arial"/>
                </w:rPr>
                <m:t>CS</m:t>
              </m:r>
              <m:r>
                <w:rPr>
                  <w:rFonts w:ascii="Cambria Math" w:hAnsi="Arial" w:cs="Arial"/>
                </w:rPr>
                <m:t>]</m:t>
              </m:r>
            </m:num>
            <m:den>
              <m:r>
                <w:rPr>
                  <w:rFonts w:ascii="Cambria Math" w:hAnsi="Cambria Math" w:cs="Arial"/>
                </w:rPr>
                <m:t>dt</m:t>
              </m:r>
            </m:den>
          </m:f>
          <m:r>
            <w:rPr>
              <w:rFonts w:ascii="Cambria Math" w:hAnsi="Arial" w:cs="Arial"/>
            </w:rPr>
            <m:t>=</m:t>
          </m:r>
          <m:r>
            <w:rPr>
              <w:rFonts w:ascii="Arial" w:hAnsi="Arial" w:cs="Arial"/>
            </w:rPr>
            <m:t>-</m:t>
          </m:r>
          <m:sSub>
            <m:sSubPr>
              <m:ctrlPr>
                <w:rPr>
                  <w:rFonts w:ascii="Cambria Math" w:hAnsi="Arial" w:cs="Arial"/>
                  <w:i/>
                </w:rPr>
              </m:ctrlPr>
            </m:sSubPr>
            <m:e>
              <m:r>
                <w:rPr>
                  <w:rFonts w:ascii="Cambria Math" w:hAnsi="Cambria Math" w:cs="Arial"/>
                </w:rPr>
                <m:t>fc</m:t>
              </m:r>
            </m:e>
            <m:sub>
              <m:r>
                <w:rPr>
                  <w:rFonts w:ascii="Cambria Math" w:hAnsi="Cambria Math" w:cs="Arial"/>
                </w:rPr>
                <m:t>G</m:t>
              </m:r>
              <m:r>
                <w:rPr>
                  <w:rFonts w:ascii="Cambria Math" w:hAnsi="Arial" w:cs="Arial"/>
                </w:rPr>
                <m:t>5</m:t>
              </m:r>
            </m:sub>
          </m:sSub>
          <m:sSub>
            <m:sSubPr>
              <m:ctrlPr>
                <w:rPr>
                  <w:rFonts w:ascii="Cambria Math" w:hAnsi="Arial" w:cs="Arial"/>
                  <w:i/>
                </w:rPr>
              </m:ctrlPr>
            </m:sSubPr>
            <m:e>
              <m:r>
                <w:rPr>
                  <w:rFonts w:ascii="Cambria Math" w:hAnsi="Cambria Math" w:cs="Arial"/>
                </w:rPr>
                <m:t>v</m:t>
              </m:r>
            </m:e>
            <m:sub>
              <m:r>
                <w:rPr>
                  <w:rFonts w:ascii="Cambria Math" w:hAnsi="Cambria Math" w:cs="Arial"/>
                </w:rPr>
                <m:t>G</m:t>
              </m:r>
              <m:r>
                <w:rPr>
                  <w:rFonts w:ascii="Cambria Math" w:hAnsi="Arial" w:cs="Arial"/>
                </w:rPr>
                <m:t>5,</m:t>
              </m:r>
              <m:r>
                <w:rPr>
                  <w:rFonts w:ascii="Cambria Math" w:hAnsi="Cambria Math" w:cs="Arial"/>
                </w:rPr>
                <m:t>β</m:t>
              </m:r>
              <m:r>
                <w:rPr>
                  <w:rFonts w:ascii="Arial" w:hAnsi="Arial" w:cs="Arial"/>
                </w:rPr>
                <m:t>-</m:t>
              </m:r>
              <m:r>
                <w:rPr>
                  <w:rFonts w:ascii="Cambria Math" w:hAnsi="Cambria Math" w:cs="Arial"/>
                </w:rPr>
                <m:t>amylase</m:t>
              </m:r>
            </m:sub>
          </m:sSub>
          <m:r>
            <w:rPr>
              <w:rFonts w:ascii="Cambria Math" w:hAnsi="Arial" w:cs="Arial"/>
            </w:rPr>
            <m:t>+</m:t>
          </m:r>
          <m:sSub>
            <m:sSubPr>
              <m:ctrlPr>
                <w:rPr>
                  <w:rFonts w:ascii="Cambria Math" w:hAnsi="Arial" w:cs="Arial"/>
                  <w:i/>
                </w:rPr>
              </m:ctrlPr>
            </m:sSubPr>
            <m:e>
              <m:r>
                <w:rPr>
                  <w:rFonts w:ascii="Cambria Math" w:hAnsi="Cambria Math" w:cs="Arial"/>
                </w:rPr>
                <m:t>ν</m:t>
              </m:r>
            </m:e>
            <m:sub>
              <m:r>
                <w:rPr>
                  <w:rFonts w:ascii="Cambria Math" w:hAnsi="Cambria Math" w:cs="Arial"/>
                </w:rPr>
                <m:t>DPE</m:t>
              </m:r>
              <m:r>
                <w:rPr>
                  <w:rFonts w:ascii="Cambria Math" w:hAnsi="Arial" w:cs="Arial"/>
                </w:rPr>
                <m:t>1</m:t>
              </m:r>
            </m:sub>
          </m:sSub>
          <m:r>
            <w:rPr>
              <w:rFonts w:ascii="Cambria Math" w:hAnsi="Arial" w:cs="Arial"/>
            </w:rPr>
            <m:t xml:space="preserve"> </m:t>
          </m:r>
        </m:oMath>
      </m:oMathPara>
    </w:p>
    <w:p w:rsidR="00BE7CD8" w:rsidRPr="00C12B85" w:rsidRDefault="00A20786" w:rsidP="00BE7CD8">
      <w:pPr>
        <w:rPr>
          <w:rFonts w:ascii="Arial" w:eastAsiaTheme="minorEastAsia" w:hAnsi="Arial" w:cs="Arial"/>
        </w:rPr>
      </w:pPr>
      <m:oMathPara>
        <m:oMath>
          <m:f>
            <m:fPr>
              <m:ctrlPr>
                <w:rPr>
                  <w:rFonts w:ascii="Cambria Math" w:hAnsi="Arial" w:cs="Arial"/>
                  <w:i/>
                </w:rPr>
              </m:ctrlPr>
            </m:fPr>
            <m:num>
              <m:r>
                <w:rPr>
                  <w:rFonts w:ascii="Cambria Math" w:hAnsi="Cambria Math" w:cs="Arial"/>
                </w:rPr>
                <m:t>d</m:t>
              </m:r>
              <m:r>
                <w:rPr>
                  <w:rFonts w:ascii="Cambria Math" w:hAnsi="Arial" w:cs="Arial"/>
                </w:rPr>
                <m:t>[</m:t>
              </m:r>
              <m:r>
                <w:rPr>
                  <w:rFonts w:ascii="Cambria Math" w:hAnsi="Cambria Math" w:cs="Arial"/>
                </w:rPr>
                <m:t>Glucose</m:t>
              </m:r>
              <m:r>
                <w:rPr>
                  <w:rFonts w:ascii="Cambria Math" w:hAnsi="Arial" w:cs="Arial"/>
                </w:rPr>
                <m:t>_</m:t>
              </m:r>
              <m:r>
                <w:rPr>
                  <w:rFonts w:ascii="Cambria Math" w:hAnsi="Cambria Math" w:cs="Arial"/>
                </w:rPr>
                <m:t>CS</m:t>
              </m:r>
              <m:r>
                <w:rPr>
                  <w:rFonts w:ascii="Cambria Math" w:hAnsi="Arial" w:cs="Arial"/>
                </w:rPr>
                <m:t>]</m:t>
              </m:r>
            </m:num>
            <m:den>
              <m:r>
                <w:rPr>
                  <w:rFonts w:ascii="Cambria Math" w:hAnsi="Cambria Math" w:cs="Arial"/>
                </w:rPr>
                <m:t>dt</m:t>
              </m:r>
            </m:den>
          </m:f>
          <m:r>
            <w:rPr>
              <w:rFonts w:ascii="Cambria Math" w:hAnsi="Arial" w:cs="Arial"/>
            </w:rPr>
            <m:t>=</m:t>
          </m:r>
          <m:sSub>
            <m:sSubPr>
              <m:ctrlPr>
                <w:rPr>
                  <w:rFonts w:ascii="Cambria Math" w:hAnsi="Arial" w:cs="Arial"/>
                  <w:i/>
                </w:rPr>
              </m:ctrlPr>
            </m:sSubPr>
            <m:e>
              <m:r>
                <w:rPr>
                  <w:rFonts w:ascii="Cambria Math" w:hAnsi="Cambria Math" w:cs="Arial"/>
                </w:rPr>
                <m:t>ν</m:t>
              </m:r>
            </m:e>
            <m:sub>
              <m:r>
                <w:rPr>
                  <w:rFonts w:ascii="Cambria Math" w:hAnsi="Cambria Math" w:cs="Arial"/>
                </w:rPr>
                <m:t>DPE</m:t>
              </m:r>
              <m:r>
                <w:rPr>
                  <w:rFonts w:ascii="Cambria Math" w:hAnsi="Arial" w:cs="Arial"/>
                </w:rPr>
                <m:t>1</m:t>
              </m:r>
            </m:sub>
          </m:sSub>
          <m:r>
            <w:rPr>
              <w:rFonts w:ascii="Arial" w:hAnsi="Arial" w:cs="Arial"/>
            </w:rPr>
            <m:t>-</m:t>
          </m:r>
          <m:r>
            <w:rPr>
              <w:rFonts w:ascii="Cambria Math" w:hAnsi="Arial" w:cs="Arial"/>
            </w:rPr>
            <m:t xml:space="preserve"> </m:t>
          </m:r>
          <m:sSub>
            <m:sSubPr>
              <m:ctrlPr>
                <w:rPr>
                  <w:rFonts w:ascii="Cambria Math" w:hAnsi="Arial" w:cs="Arial"/>
                  <w:i/>
                </w:rPr>
              </m:ctrlPr>
            </m:sSubPr>
            <m:e>
              <m:r>
                <w:rPr>
                  <w:rFonts w:ascii="Cambria Math" w:hAnsi="Cambria Math" w:cs="Arial"/>
                </w:rPr>
                <m:t>ν</m:t>
              </m:r>
            </m:e>
            <m:sub>
              <m:r>
                <w:rPr>
                  <w:rFonts w:ascii="Cambria Math" w:hAnsi="Cambria Math" w:cs="Arial"/>
                </w:rPr>
                <m:t>pGlcT</m:t>
              </m:r>
            </m:sub>
          </m:sSub>
        </m:oMath>
      </m:oMathPara>
    </w:p>
    <w:p w:rsidR="00BE7CD8" w:rsidRPr="00C12B85" w:rsidRDefault="00A20786" w:rsidP="00BE7CD8">
      <w:pPr>
        <w:rPr>
          <w:rFonts w:ascii="Arial" w:eastAsiaTheme="minorEastAsia" w:hAnsi="Arial" w:cs="Arial"/>
        </w:rPr>
      </w:pPr>
      <m:oMathPara>
        <m:oMath>
          <m:f>
            <m:fPr>
              <m:ctrlPr>
                <w:rPr>
                  <w:rFonts w:ascii="Cambria Math" w:hAnsi="Arial" w:cs="Arial"/>
                  <w:i/>
                </w:rPr>
              </m:ctrlPr>
            </m:fPr>
            <m:num>
              <m:r>
                <w:rPr>
                  <w:rFonts w:ascii="Cambria Math" w:hAnsi="Cambria Math" w:cs="Arial"/>
                </w:rPr>
                <m:t>d</m:t>
              </m:r>
              <m:r>
                <w:rPr>
                  <w:rFonts w:ascii="Cambria Math" w:hAnsi="Arial" w:cs="Arial"/>
                </w:rPr>
                <m:t>[</m:t>
              </m:r>
              <m:r>
                <w:rPr>
                  <w:rFonts w:ascii="Cambria Math" w:hAnsi="Cambria Math" w:cs="Arial"/>
                </w:rPr>
                <m:t>Glucose</m:t>
              </m:r>
              <m:r>
                <w:rPr>
                  <w:rFonts w:ascii="Cambria Math" w:hAnsi="Arial" w:cs="Arial"/>
                </w:rPr>
                <m:t>_</m:t>
              </m:r>
              <m:r>
                <w:rPr>
                  <w:rFonts w:ascii="Cambria Math" w:hAnsi="Cambria Math" w:cs="Arial"/>
                </w:rPr>
                <m:t>CY</m:t>
              </m:r>
              <m:r>
                <w:rPr>
                  <w:rFonts w:ascii="Cambria Math" w:hAnsi="Arial" w:cs="Arial"/>
                </w:rPr>
                <m:t>]</m:t>
              </m:r>
            </m:num>
            <m:den>
              <m:r>
                <w:rPr>
                  <w:rFonts w:ascii="Cambria Math" w:hAnsi="Cambria Math" w:cs="Arial"/>
                </w:rPr>
                <m:t>dt</m:t>
              </m:r>
            </m:den>
          </m:f>
          <m:r>
            <w:rPr>
              <w:rFonts w:ascii="Cambria Math" w:hAnsi="Arial" w:cs="Arial"/>
            </w:rPr>
            <m:t xml:space="preserve">= </m:t>
          </m:r>
          <m:sSub>
            <m:sSubPr>
              <m:ctrlPr>
                <w:rPr>
                  <w:rFonts w:ascii="Cambria Math" w:hAnsi="Arial" w:cs="Arial"/>
                  <w:i/>
                </w:rPr>
              </m:ctrlPr>
            </m:sSubPr>
            <m:e>
              <m:r>
                <w:rPr>
                  <w:rFonts w:ascii="Cambria Math" w:hAnsi="Cambria Math" w:cs="Arial"/>
                </w:rPr>
                <m:t>ν</m:t>
              </m:r>
            </m:e>
            <m:sub>
              <m:r>
                <w:rPr>
                  <w:rFonts w:ascii="Cambria Math" w:hAnsi="Cambria Math" w:cs="Arial"/>
                </w:rPr>
                <m:t>pGlcT</m:t>
              </m:r>
            </m:sub>
          </m:sSub>
          <m:r>
            <w:rPr>
              <w:rFonts w:ascii="Cambria Math" w:hAnsi="Arial" w:cs="Arial"/>
            </w:rPr>
            <m:t xml:space="preserve">+ </m:t>
          </m:r>
          <m:sSub>
            <m:sSubPr>
              <m:ctrlPr>
                <w:rPr>
                  <w:rFonts w:ascii="Cambria Math" w:hAnsi="Arial" w:cs="Arial"/>
                  <w:i/>
                </w:rPr>
              </m:ctrlPr>
            </m:sSubPr>
            <m:e>
              <m:r>
                <w:rPr>
                  <w:rFonts w:ascii="Cambria Math" w:hAnsi="Cambria Math" w:cs="Arial"/>
                </w:rPr>
                <m:t>ν</m:t>
              </m:r>
            </m:e>
            <m:sub>
              <m:r>
                <w:rPr>
                  <w:rFonts w:ascii="Cambria Math" w:hAnsi="Cambria Math" w:cs="Arial"/>
                </w:rPr>
                <m:t>DPE</m:t>
              </m:r>
              <m:r>
                <w:rPr>
                  <w:rFonts w:ascii="Cambria Math" w:hAnsi="Arial" w:cs="Arial"/>
                </w:rPr>
                <m:t>2</m:t>
              </m:r>
            </m:sub>
          </m:sSub>
          <m:r>
            <w:rPr>
              <w:rFonts w:ascii="Arial" w:hAnsi="Arial" w:cs="Arial"/>
            </w:rPr>
            <m:t>-</m:t>
          </m:r>
          <m:sSub>
            <m:sSubPr>
              <m:ctrlPr>
                <w:rPr>
                  <w:rFonts w:ascii="Cambria Math" w:hAnsi="Arial" w:cs="Arial"/>
                  <w:i/>
                </w:rPr>
              </m:ctrlPr>
            </m:sSubPr>
            <m:e>
              <m:r>
                <w:rPr>
                  <w:rFonts w:ascii="Cambria Math" w:hAnsi="Cambria Math" w:cs="Arial"/>
                </w:rPr>
                <m:t>ν</m:t>
              </m:r>
            </m:e>
            <m:sub>
              <m:r>
                <w:rPr>
                  <w:rFonts w:ascii="Cambria Math" w:hAnsi="Cambria Math" w:cs="Arial"/>
                </w:rPr>
                <m:t>HexK</m:t>
              </m:r>
            </m:sub>
          </m:sSub>
          <m:r>
            <w:rPr>
              <w:rFonts w:ascii="Cambria Math" w:hAnsi="Arial" w:cs="Arial"/>
            </w:rPr>
            <m:t xml:space="preserve"> </m:t>
          </m:r>
        </m:oMath>
      </m:oMathPara>
    </w:p>
    <w:p w:rsidR="00BE7CD8" w:rsidRPr="00C12B85" w:rsidRDefault="00A20786" w:rsidP="00BE7CD8">
      <w:pPr>
        <w:rPr>
          <w:rFonts w:ascii="Arial" w:eastAsiaTheme="minorEastAsia" w:hAnsi="Arial" w:cs="Arial"/>
        </w:rPr>
      </w:pPr>
      <m:oMathPara>
        <m:oMath>
          <m:f>
            <m:fPr>
              <m:ctrlPr>
                <w:rPr>
                  <w:rFonts w:ascii="Cambria Math" w:hAnsi="Arial" w:cs="Arial"/>
                  <w:i/>
                </w:rPr>
              </m:ctrlPr>
            </m:fPr>
            <m:num>
              <m:r>
                <w:rPr>
                  <w:rFonts w:ascii="Cambria Math" w:hAnsi="Cambria Math" w:cs="Arial"/>
                </w:rPr>
                <m:t>d</m:t>
              </m:r>
              <m:r>
                <w:rPr>
                  <w:rFonts w:ascii="Cambria Math" w:hAnsi="Arial" w:cs="Arial"/>
                </w:rPr>
                <m:t>[</m:t>
              </m:r>
              <m:r>
                <w:rPr>
                  <w:rFonts w:ascii="Cambria Math" w:hAnsi="Cambria Math" w:cs="Arial"/>
                </w:rPr>
                <m:t>AG</m:t>
              </m:r>
              <m:r>
                <w:rPr>
                  <w:rFonts w:ascii="Cambria Math" w:hAnsi="Arial" w:cs="Arial"/>
                </w:rPr>
                <m:t>_</m:t>
              </m:r>
              <m:r>
                <w:rPr>
                  <w:rFonts w:ascii="Cambria Math" w:hAnsi="Cambria Math" w:cs="Arial"/>
                </w:rPr>
                <m:t>CY</m:t>
              </m:r>
              <m:r>
                <w:rPr>
                  <w:rFonts w:ascii="Cambria Math" w:hAnsi="Arial" w:cs="Arial"/>
                </w:rPr>
                <m:t>]</m:t>
              </m:r>
            </m:num>
            <m:den>
              <m:r>
                <w:rPr>
                  <w:rFonts w:ascii="Cambria Math" w:hAnsi="Cambria Math" w:cs="Arial"/>
                </w:rPr>
                <m:t>dt</m:t>
              </m:r>
            </m:den>
          </m:f>
          <m:r>
            <w:rPr>
              <w:rFonts w:ascii="Cambria Math" w:hAnsi="Arial" w:cs="Arial"/>
            </w:rPr>
            <m:t>=</m:t>
          </m:r>
          <m:r>
            <w:rPr>
              <w:rFonts w:ascii="Arial" w:hAnsi="Arial" w:cs="Arial"/>
            </w:rPr>
            <m:t>-</m:t>
          </m:r>
          <m:sSub>
            <m:sSubPr>
              <m:ctrlPr>
                <w:rPr>
                  <w:rFonts w:ascii="Cambria Math" w:hAnsi="Arial" w:cs="Arial"/>
                  <w:i/>
                </w:rPr>
              </m:ctrlPr>
            </m:sSubPr>
            <m:e>
              <m:r>
                <w:rPr>
                  <w:rFonts w:ascii="Cambria Math" w:hAnsi="Cambria Math" w:cs="Arial"/>
                </w:rPr>
                <m:t>ν</m:t>
              </m:r>
            </m:e>
            <m:sub>
              <m:r>
                <w:rPr>
                  <w:rFonts w:ascii="Cambria Math" w:hAnsi="Cambria Math" w:cs="Arial"/>
                </w:rPr>
                <m:t>DPE</m:t>
              </m:r>
              <m:r>
                <w:rPr>
                  <w:rFonts w:ascii="Cambria Math" w:hAnsi="Arial" w:cs="Arial"/>
                </w:rPr>
                <m:t>2</m:t>
              </m:r>
            </m:sub>
          </m:sSub>
          <m:r>
            <w:rPr>
              <w:rFonts w:ascii="Cambria Math" w:hAnsi="Arial" w:cs="Arial"/>
            </w:rPr>
            <m:t>+</m:t>
          </m:r>
          <m:sSub>
            <m:sSubPr>
              <m:ctrlPr>
                <w:rPr>
                  <w:rFonts w:ascii="Cambria Math" w:hAnsi="Arial" w:cs="Arial"/>
                  <w:i/>
                </w:rPr>
              </m:ctrlPr>
            </m:sSubPr>
            <m:e>
              <m:r>
                <w:rPr>
                  <w:rFonts w:ascii="Cambria Math" w:hAnsi="Cambria Math" w:cs="Arial"/>
                </w:rPr>
                <m:t>ν</m:t>
              </m:r>
            </m:e>
            <m:sub>
              <m:r>
                <w:rPr>
                  <w:rFonts w:ascii="Cambria Math" w:hAnsi="Cambria Math" w:cs="Arial"/>
                </w:rPr>
                <m:t>CGP</m:t>
              </m:r>
            </m:sub>
          </m:sSub>
        </m:oMath>
      </m:oMathPara>
    </w:p>
    <w:p w:rsidR="00BE7CD8" w:rsidRPr="00C12B85" w:rsidRDefault="00A20786" w:rsidP="00BE7CD8">
      <w:pPr>
        <w:rPr>
          <w:rFonts w:ascii="Arial" w:eastAsiaTheme="minorEastAsia" w:hAnsi="Arial" w:cs="Arial"/>
        </w:rPr>
      </w:pPr>
      <m:oMathPara>
        <m:oMath>
          <m:f>
            <m:fPr>
              <m:ctrlPr>
                <w:rPr>
                  <w:rFonts w:ascii="Cambria Math" w:hAnsi="Arial" w:cs="Arial"/>
                  <w:i/>
                </w:rPr>
              </m:ctrlPr>
            </m:fPr>
            <m:num>
              <m:r>
                <w:rPr>
                  <w:rFonts w:ascii="Cambria Math" w:hAnsi="Cambria Math" w:cs="Arial"/>
                </w:rPr>
                <m:t>d</m:t>
              </m:r>
              <m:r>
                <w:rPr>
                  <w:rFonts w:ascii="Cambria Math" w:hAnsi="Arial" w:cs="Arial"/>
                </w:rPr>
                <m:t>[</m:t>
              </m:r>
              <m:r>
                <w:rPr>
                  <w:rFonts w:ascii="Cambria Math" w:hAnsi="Cambria Math" w:cs="Arial"/>
                </w:rPr>
                <m:t>GlcAG</m:t>
              </m:r>
              <m:r>
                <w:rPr>
                  <w:rFonts w:ascii="Cambria Math" w:hAnsi="Arial" w:cs="Arial"/>
                </w:rPr>
                <m:t>_</m:t>
              </m:r>
              <m:r>
                <w:rPr>
                  <w:rFonts w:ascii="Cambria Math" w:hAnsi="Cambria Math" w:cs="Arial"/>
                </w:rPr>
                <m:t>CY</m:t>
              </m:r>
              <m:r>
                <w:rPr>
                  <w:rFonts w:ascii="Cambria Math" w:hAnsi="Arial" w:cs="Arial"/>
                </w:rPr>
                <m:t>]</m:t>
              </m:r>
            </m:num>
            <m:den>
              <m:r>
                <w:rPr>
                  <w:rFonts w:ascii="Cambria Math" w:hAnsi="Cambria Math" w:cs="Arial"/>
                </w:rPr>
                <m:t>dt</m:t>
              </m:r>
            </m:den>
          </m:f>
          <m:r>
            <w:rPr>
              <w:rFonts w:ascii="Cambria Math" w:hAnsi="Arial" w:cs="Arial"/>
            </w:rPr>
            <m:t>=</m:t>
          </m:r>
          <m:sSub>
            <m:sSubPr>
              <m:ctrlPr>
                <w:rPr>
                  <w:rFonts w:ascii="Cambria Math" w:hAnsi="Arial" w:cs="Arial"/>
                  <w:i/>
                </w:rPr>
              </m:ctrlPr>
            </m:sSubPr>
            <m:e>
              <m:r>
                <w:rPr>
                  <w:rFonts w:ascii="Cambria Math" w:hAnsi="Cambria Math" w:cs="Arial"/>
                </w:rPr>
                <m:t>ν</m:t>
              </m:r>
            </m:e>
            <m:sub>
              <m:r>
                <w:rPr>
                  <w:rFonts w:ascii="Cambria Math" w:hAnsi="Cambria Math" w:cs="Arial"/>
                </w:rPr>
                <m:t>DPE</m:t>
              </m:r>
              <m:r>
                <w:rPr>
                  <w:rFonts w:ascii="Cambria Math" w:hAnsi="Arial" w:cs="Arial"/>
                </w:rPr>
                <m:t>2</m:t>
              </m:r>
            </m:sub>
          </m:sSub>
          <m:r>
            <w:rPr>
              <w:rFonts w:ascii="Arial" w:hAnsi="Arial" w:cs="Arial"/>
            </w:rPr>
            <m:t>-</m:t>
          </m:r>
          <m:sSub>
            <m:sSubPr>
              <m:ctrlPr>
                <w:rPr>
                  <w:rFonts w:ascii="Cambria Math" w:hAnsi="Arial" w:cs="Arial"/>
                  <w:i/>
                </w:rPr>
              </m:ctrlPr>
            </m:sSubPr>
            <m:e>
              <m:r>
                <w:rPr>
                  <w:rFonts w:ascii="Cambria Math" w:hAnsi="Cambria Math" w:cs="Arial"/>
                </w:rPr>
                <m:t>ν</m:t>
              </m:r>
            </m:e>
            <m:sub>
              <m:r>
                <w:rPr>
                  <w:rFonts w:ascii="Cambria Math" w:hAnsi="Cambria Math" w:cs="Arial"/>
                </w:rPr>
                <m:t>CGP</m:t>
              </m:r>
            </m:sub>
          </m:sSub>
        </m:oMath>
      </m:oMathPara>
    </w:p>
    <w:p w:rsidR="00BE7CD8" w:rsidRPr="008E7CA2" w:rsidRDefault="00BE7CD8" w:rsidP="00BE7CD8">
      <w:pPr>
        <w:spacing w:line="240" w:lineRule="auto"/>
        <w:jc w:val="both"/>
        <w:rPr>
          <w:rFonts w:eastAsiaTheme="minorEastAsia"/>
        </w:rPr>
      </w:pPr>
      <w:r>
        <w:rPr>
          <w:rFonts w:eastAsiaTheme="minorEastAsia"/>
        </w:rPr>
        <w:t>The rate expression for the formation of debranched starch, which is the same as the rate-of-release of linear linkage groups from starch, has been provided in Table 2.  The concentration rates-of-change of each metabolite in the above equations have units of µM</w:t>
      </w:r>
      <w:r>
        <w:rPr>
          <w:rFonts w:ascii="Cambria Math" w:eastAsiaTheme="minorEastAsia" w:hAnsi="Cambria Math" w:cs="Cambria Math"/>
        </w:rPr>
        <w:t>⋅</w:t>
      </w:r>
      <w:r>
        <w:rPr>
          <w:rFonts w:eastAsiaTheme="minorEastAsia"/>
        </w:rPr>
        <w:t>s</w:t>
      </w:r>
      <w:r w:rsidRPr="008E7CA2">
        <w:rPr>
          <w:rFonts w:eastAsiaTheme="minorEastAsia"/>
          <w:vertAlign w:val="superscript"/>
        </w:rPr>
        <w:t>-1</w:t>
      </w:r>
      <w:r>
        <w:rPr>
          <w:rFonts w:eastAsiaTheme="minorEastAsia"/>
        </w:rPr>
        <w:t xml:space="preserve">. The factors </w:t>
      </w:r>
      <m:oMath>
        <m:sSub>
          <m:sSubPr>
            <m:ctrlPr>
              <w:rPr>
                <w:rFonts w:ascii="Cambria Math" w:hAnsi="Cambria Math"/>
                <w:i/>
              </w:rPr>
            </m:ctrlPr>
          </m:sSubPr>
          <m:e>
            <m:r>
              <w:rPr>
                <w:rFonts w:ascii="Cambria Math" w:hAnsi="Cambria Math"/>
              </w:rPr>
              <m:t>fc</m:t>
            </m:r>
          </m:e>
          <m:sub>
            <m:r>
              <w:rPr>
                <w:rFonts w:ascii="Cambria Math" w:hAnsi="Cambria Math"/>
              </w:rPr>
              <m:t>G2</m:t>
            </m:r>
          </m:sub>
        </m:sSub>
      </m:oMath>
      <w:r>
        <w:rPr>
          <w:rFonts w:eastAsiaTheme="minorEastAsia"/>
        </w:rPr>
        <w:t xml:space="preserve">, </w:t>
      </w:r>
      <m:oMath>
        <m:sSub>
          <m:sSubPr>
            <m:ctrlPr>
              <w:rPr>
                <w:rFonts w:ascii="Cambria Math" w:hAnsi="Cambria Math"/>
                <w:i/>
              </w:rPr>
            </m:ctrlPr>
          </m:sSubPr>
          <m:e>
            <m:r>
              <w:rPr>
                <w:rFonts w:ascii="Cambria Math" w:hAnsi="Cambria Math"/>
              </w:rPr>
              <m:t>fc</m:t>
            </m:r>
          </m:e>
          <m:sub>
            <m:r>
              <w:rPr>
                <w:rFonts w:ascii="Cambria Math" w:hAnsi="Cambria Math"/>
              </w:rPr>
              <m:t>G3</m:t>
            </m:r>
          </m:sub>
        </m:sSub>
      </m:oMath>
      <w:r>
        <w:rPr>
          <w:rFonts w:eastAsiaTheme="minorEastAsia"/>
        </w:rPr>
        <w:t xml:space="preserve"> and </w:t>
      </w:r>
      <m:oMath>
        <m:sSub>
          <m:sSubPr>
            <m:ctrlPr>
              <w:rPr>
                <w:rFonts w:ascii="Cambria Math" w:hAnsi="Cambria Math"/>
                <w:i/>
              </w:rPr>
            </m:ctrlPr>
          </m:sSubPr>
          <m:e>
            <m:r>
              <w:rPr>
                <w:rFonts w:ascii="Cambria Math" w:hAnsi="Cambria Math"/>
              </w:rPr>
              <m:t>fc</m:t>
            </m:r>
          </m:e>
          <m:sub>
            <m:r>
              <w:rPr>
                <w:rFonts w:ascii="Cambria Math" w:hAnsi="Cambria Math"/>
              </w:rPr>
              <m:t>G5</m:t>
            </m:r>
          </m:sub>
        </m:sSub>
      </m:oMath>
      <w:r>
        <w:rPr>
          <w:rFonts w:eastAsiaTheme="minorEastAsia"/>
        </w:rPr>
        <w:t xml:space="preserve"> correspond respectively to conversion factors  (from gm</w:t>
      </w:r>
      <w:r>
        <w:rPr>
          <w:rFonts w:ascii="Cambria Math" w:eastAsiaTheme="minorEastAsia" w:hAnsi="Cambria Math" w:cs="Cambria Math"/>
        </w:rPr>
        <w:t>⋅(</w:t>
      </w:r>
      <w:r>
        <w:rPr>
          <w:rFonts w:eastAsiaTheme="minorEastAsia"/>
        </w:rPr>
        <w:t>L</w:t>
      </w:r>
      <w:r w:rsidRPr="008E7CA2">
        <w:rPr>
          <w:rFonts w:eastAsiaTheme="minorEastAsia"/>
          <w:vertAlign w:val="superscript"/>
        </w:rPr>
        <w:t>-1</w:t>
      </w:r>
      <w:r>
        <w:rPr>
          <w:rFonts w:eastAsiaTheme="minorEastAsia"/>
        </w:rPr>
        <w:t>s</w:t>
      </w:r>
      <w:r w:rsidRPr="008E7CA2">
        <w:rPr>
          <w:rFonts w:eastAsiaTheme="minorEastAsia"/>
          <w:vertAlign w:val="superscript"/>
        </w:rPr>
        <w:t>-1</w:t>
      </w:r>
      <w:r>
        <w:rPr>
          <w:rFonts w:eastAsiaTheme="minorEastAsia"/>
        </w:rPr>
        <w:t>)  units to µM</w:t>
      </w:r>
      <w:r>
        <w:rPr>
          <w:rFonts w:ascii="Cambria Math" w:eastAsiaTheme="minorEastAsia" w:hAnsi="Cambria Math" w:cs="Cambria Math"/>
        </w:rPr>
        <w:t>⋅</w:t>
      </w:r>
      <w:r>
        <w:rPr>
          <w:rFonts w:eastAsiaTheme="minorEastAsia"/>
        </w:rPr>
        <w:t>s</w:t>
      </w:r>
      <w:r w:rsidRPr="008E7CA2">
        <w:rPr>
          <w:rFonts w:eastAsiaTheme="minorEastAsia"/>
          <w:vertAlign w:val="superscript"/>
        </w:rPr>
        <w:t>-1</w:t>
      </w:r>
      <w:r>
        <w:rPr>
          <w:rFonts w:eastAsiaTheme="minorEastAsia"/>
        </w:rPr>
        <w:t xml:space="preserve"> units) for Maltose_CS, Maltotriose_CS and Maltopentaose_CS flux terms containing </w:t>
      </w:r>
      <m:oMath>
        <m:sSub>
          <m:sSubPr>
            <m:ctrlPr>
              <w:rPr>
                <w:rFonts w:ascii="Cambria Math" w:hAnsi="Cambria Math"/>
                <w:i/>
              </w:rPr>
            </m:ctrlPr>
          </m:sSubPr>
          <m:e>
            <m:r>
              <w:rPr>
                <w:rFonts w:ascii="Cambria Math" w:hAnsi="Cambria Math"/>
              </w:rPr>
              <m:t>v</m:t>
            </m:r>
          </m:e>
          <m:sub>
            <m:r>
              <w:rPr>
                <w:rFonts w:ascii="Cambria Math" w:hAnsi="Cambria Math"/>
              </w:rPr>
              <m:t>M</m:t>
            </m:r>
            <m:r>
              <w:rPr>
                <w:rFonts w:ascii="Cambria Math"/>
              </w:rPr>
              <m:t>,</m:t>
            </m:r>
            <m:r>
              <w:rPr>
                <w:rFonts w:ascii="Cambria Math" w:hAnsi="Cambria Math"/>
              </w:rPr>
              <m:t>β-amylase</m:t>
            </m:r>
          </m:sub>
        </m:sSub>
      </m:oMath>
      <w:r>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rPr>
              <m:t>G3,</m:t>
            </m:r>
            <m:r>
              <w:rPr>
                <w:rFonts w:ascii="Cambria Math" w:hAnsi="Cambria Math"/>
              </w:rPr>
              <m:t>β</m:t>
            </m:r>
            <m:r>
              <m:t>-</m:t>
            </m:r>
            <m:r>
              <w:rPr>
                <w:rFonts w:ascii="Cambria Math" w:hAnsi="Cambria Math"/>
              </w:rPr>
              <m:t>amylase</m:t>
            </m:r>
          </m:sub>
        </m:sSub>
        <m:r>
          <w:rPr>
            <w:rFonts w:ascii="Cambria Math"/>
          </w:rPr>
          <m:t xml:space="preserve"> </m:t>
        </m:r>
      </m:oMath>
      <w:r>
        <w:rPr>
          <w:rFonts w:eastAsiaTheme="minorEastAsia"/>
        </w:rPr>
        <w:t xml:space="preserve">and </w:t>
      </w:r>
      <m:oMath>
        <m:sSub>
          <m:sSubPr>
            <m:ctrlPr>
              <w:rPr>
                <w:rFonts w:ascii="Cambria Math" w:hAnsi="Cambria Math"/>
                <w:i/>
              </w:rPr>
            </m:ctrlPr>
          </m:sSubPr>
          <m:e>
            <m:r>
              <w:rPr>
                <w:rFonts w:ascii="Cambria Math" w:hAnsi="Cambria Math"/>
              </w:rPr>
              <m:t>v</m:t>
            </m:r>
          </m:e>
          <m:sub>
            <m:r>
              <w:rPr>
                <w:rFonts w:ascii="Cambria Math" w:hAnsi="Cambria Math"/>
              </w:rPr>
              <m:t>G</m:t>
            </m:r>
            <m:r>
              <w:rPr>
                <w:rFonts w:ascii="Cambria Math"/>
              </w:rPr>
              <m:t>5,</m:t>
            </m:r>
            <m:r>
              <w:rPr>
                <w:rFonts w:ascii="Cambria Math" w:hAnsi="Cambria Math"/>
              </w:rPr>
              <m:t>β-amylase</m:t>
            </m:r>
          </m:sub>
        </m:sSub>
      </m:oMath>
      <w:r>
        <w:rPr>
          <w:rFonts w:eastAsiaTheme="minorEastAsia"/>
        </w:rPr>
        <w:t xml:space="preserve">  since the latter three reaction fluxes have gm</w:t>
      </w:r>
      <w:r>
        <w:rPr>
          <w:rFonts w:ascii="Cambria Math" w:eastAsiaTheme="minorEastAsia" w:hAnsi="Cambria Math" w:cs="Cambria Math"/>
        </w:rPr>
        <w:t>⋅(</w:t>
      </w:r>
      <w:r>
        <w:rPr>
          <w:rFonts w:eastAsiaTheme="minorEastAsia"/>
        </w:rPr>
        <w:t>L</w:t>
      </w:r>
      <w:r w:rsidRPr="008E7CA2">
        <w:rPr>
          <w:rFonts w:eastAsiaTheme="minorEastAsia"/>
          <w:vertAlign w:val="superscript"/>
        </w:rPr>
        <w:t>-1</w:t>
      </w:r>
      <w:r>
        <w:rPr>
          <w:rFonts w:eastAsiaTheme="minorEastAsia"/>
        </w:rPr>
        <w:t>s</w:t>
      </w:r>
      <w:r w:rsidRPr="008E7CA2">
        <w:rPr>
          <w:rFonts w:eastAsiaTheme="minorEastAsia"/>
          <w:vertAlign w:val="superscript"/>
        </w:rPr>
        <w:t>-1</w:t>
      </w:r>
      <w:r>
        <w:rPr>
          <w:rFonts w:eastAsiaTheme="minorEastAsia"/>
        </w:rPr>
        <w:t xml:space="preserve">) units in the model. The values of </w:t>
      </w:r>
      <m:oMath>
        <m:sSub>
          <m:sSubPr>
            <m:ctrlPr>
              <w:rPr>
                <w:rFonts w:ascii="Cambria Math" w:hAnsi="Cambria Math"/>
                <w:i/>
              </w:rPr>
            </m:ctrlPr>
          </m:sSubPr>
          <m:e>
            <m:r>
              <w:rPr>
                <w:rFonts w:ascii="Cambria Math" w:hAnsi="Cambria Math"/>
              </w:rPr>
              <m:t>fc</m:t>
            </m:r>
          </m:e>
          <m:sub>
            <m:r>
              <w:rPr>
                <w:rFonts w:ascii="Cambria Math" w:hAnsi="Cambria Math"/>
              </w:rPr>
              <m:t>G2</m:t>
            </m:r>
          </m:sub>
        </m:sSub>
      </m:oMath>
      <w:r>
        <w:rPr>
          <w:rFonts w:eastAsiaTheme="minorEastAsia"/>
        </w:rPr>
        <w:t xml:space="preserve">, </w:t>
      </w:r>
      <m:oMath>
        <m:sSub>
          <m:sSubPr>
            <m:ctrlPr>
              <w:rPr>
                <w:rFonts w:ascii="Cambria Math" w:hAnsi="Cambria Math"/>
                <w:i/>
              </w:rPr>
            </m:ctrlPr>
          </m:sSubPr>
          <m:e>
            <m:r>
              <w:rPr>
                <w:rFonts w:ascii="Cambria Math" w:hAnsi="Cambria Math"/>
              </w:rPr>
              <m:t>fc</m:t>
            </m:r>
          </m:e>
          <m:sub>
            <m:r>
              <w:rPr>
                <w:rFonts w:ascii="Cambria Math" w:hAnsi="Cambria Math"/>
              </w:rPr>
              <m:t>G3</m:t>
            </m:r>
          </m:sub>
        </m:sSub>
      </m:oMath>
      <w:r>
        <w:rPr>
          <w:rFonts w:eastAsiaTheme="minorEastAsia"/>
        </w:rPr>
        <w:t xml:space="preserve"> and </w:t>
      </w:r>
      <m:oMath>
        <m:sSub>
          <m:sSubPr>
            <m:ctrlPr>
              <w:rPr>
                <w:rFonts w:ascii="Cambria Math" w:hAnsi="Cambria Math"/>
                <w:i/>
              </w:rPr>
            </m:ctrlPr>
          </m:sSubPr>
          <m:e>
            <m:r>
              <w:rPr>
                <w:rFonts w:ascii="Cambria Math" w:hAnsi="Cambria Math"/>
              </w:rPr>
              <m:t>fc</m:t>
            </m:r>
          </m:e>
          <m:sub>
            <m:r>
              <w:rPr>
                <w:rFonts w:ascii="Cambria Math" w:hAnsi="Cambria Math"/>
              </w:rPr>
              <m:t>G5</m:t>
            </m:r>
          </m:sub>
        </m:sSub>
      </m:oMath>
      <w:r>
        <w:rPr>
          <w:rFonts w:eastAsiaTheme="minorEastAsia"/>
        </w:rPr>
        <w:t xml:space="preserve"> are respectively </w:t>
      </w:r>
      <w:r w:rsidRPr="008E7CA2">
        <w:rPr>
          <w:rFonts w:eastAsiaTheme="minorEastAsia"/>
        </w:rPr>
        <w:t>292</w:t>
      </w:r>
      <w:r>
        <w:rPr>
          <w:rFonts w:eastAsiaTheme="minorEastAsia"/>
        </w:rPr>
        <w:t xml:space="preserve">4, </w:t>
      </w:r>
      <w:r w:rsidRPr="008E7CA2">
        <w:rPr>
          <w:rFonts w:eastAsiaTheme="minorEastAsia"/>
        </w:rPr>
        <w:t>1984</w:t>
      </w:r>
      <w:r>
        <w:rPr>
          <w:rFonts w:eastAsiaTheme="minorEastAsia"/>
        </w:rPr>
        <w:t xml:space="preserve"> and </w:t>
      </w:r>
      <w:r w:rsidRPr="008E7CA2">
        <w:rPr>
          <w:rFonts w:eastAsiaTheme="minorEastAsia"/>
        </w:rPr>
        <w:t>120</w:t>
      </w:r>
      <w:r>
        <w:rPr>
          <w:rFonts w:eastAsiaTheme="minorEastAsia"/>
        </w:rPr>
        <w:t xml:space="preserve">8. Full expressions for individual flux terms other than </w:t>
      </w:r>
      <m:oMath>
        <m:sSub>
          <m:sSubPr>
            <m:ctrlPr>
              <w:rPr>
                <w:rFonts w:ascii="Cambria Math" w:hAnsi="Cambria Math"/>
                <w:i/>
              </w:rPr>
            </m:ctrlPr>
          </m:sSubPr>
          <m:e>
            <m:r>
              <w:rPr>
                <w:rFonts w:ascii="Cambria Math" w:hAnsi="Cambria Math"/>
              </w:rPr>
              <m:t>ν</m:t>
            </m:r>
          </m:e>
          <m:sub>
            <m:r>
              <w:rPr>
                <w:rFonts w:ascii="Cambria Math" w:hAnsi="Cambria Math"/>
              </w:rPr>
              <m:t>MEX</m:t>
            </m:r>
          </m:sub>
        </m:sSub>
      </m:oMath>
      <w:r>
        <w:rPr>
          <w:rFonts w:eastAsiaTheme="minorEastAsia"/>
        </w:rPr>
        <w:t xml:space="preserve">, </w:t>
      </w:r>
      <m:oMath>
        <m:sSub>
          <m:sSubPr>
            <m:ctrlPr>
              <w:rPr>
                <w:rFonts w:ascii="Cambria Math" w:hAnsi="Cambria Math"/>
                <w:i/>
              </w:rPr>
            </m:ctrlPr>
          </m:sSubPr>
          <m:e>
            <m:r>
              <w:rPr>
                <w:rFonts w:ascii="Cambria Math" w:hAnsi="Cambria Math"/>
              </w:rPr>
              <m:t>ν</m:t>
            </m:r>
          </m:e>
          <m:sub>
            <m:r>
              <w:rPr>
                <w:rFonts w:ascii="Cambria Math" w:hAnsi="Cambria Math"/>
              </w:rPr>
              <m:t>pGlcT</m:t>
            </m:r>
          </m:sub>
        </m:sSub>
      </m:oMath>
      <w:r>
        <w:rPr>
          <w:rFonts w:eastAsiaTheme="minorEastAsia"/>
        </w:rPr>
        <w:t xml:space="preserve"> and </w:t>
      </w:r>
      <m:oMath>
        <m:sSub>
          <m:sSubPr>
            <m:ctrlPr>
              <w:rPr>
                <w:rFonts w:ascii="Cambria Math" w:hAnsi="Cambria Math"/>
                <w:i/>
              </w:rPr>
            </m:ctrlPr>
          </m:sSubPr>
          <m:e>
            <m:r>
              <w:rPr>
                <w:rFonts w:ascii="Cambria Math" w:hAnsi="Cambria Math"/>
              </w:rPr>
              <m:t>ν</m:t>
            </m:r>
          </m:e>
          <m:sub>
            <m:r>
              <w:rPr>
                <w:rFonts w:ascii="Cambria Math" w:hAnsi="Cambria Math"/>
              </w:rPr>
              <m:t>HexK</m:t>
            </m:r>
          </m:sub>
        </m:sSub>
      </m:oMath>
      <w:r>
        <w:rPr>
          <w:rFonts w:eastAsiaTheme="minorEastAsia"/>
        </w:rPr>
        <w:t xml:space="preserve"> have been provided in the tables. </w:t>
      </w:r>
      <m:oMath>
        <m:sSub>
          <m:sSubPr>
            <m:ctrlPr>
              <w:rPr>
                <w:rFonts w:ascii="Cambria Math" w:hAnsi="Cambria Math"/>
                <w:i/>
              </w:rPr>
            </m:ctrlPr>
          </m:sSubPr>
          <m:e>
            <m:r>
              <w:rPr>
                <w:rFonts w:ascii="Cambria Math" w:hAnsi="Cambria Math"/>
              </w:rPr>
              <m:t>ν</m:t>
            </m:r>
          </m:e>
          <m:sub>
            <m:r>
              <w:rPr>
                <w:rFonts w:ascii="Cambria Math" w:hAnsi="Cambria Math"/>
              </w:rPr>
              <m:t>MEX</m:t>
            </m:r>
          </m:sub>
        </m:sSub>
      </m:oMath>
      <w:r>
        <w:rPr>
          <w:rFonts w:eastAsiaTheme="minorEastAsia"/>
        </w:rPr>
        <w:t xml:space="preserve"> (MEX-catalyzed maltose transport) and </w:t>
      </w:r>
      <m:oMath>
        <m:sSub>
          <m:sSubPr>
            <m:ctrlPr>
              <w:rPr>
                <w:rFonts w:ascii="Cambria Math" w:hAnsi="Cambria Math"/>
                <w:i/>
              </w:rPr>
            </m:ctrlPr>
          </m:sSubPr>
          <m:e>
            <m:r>
              <w:rPr>
                <w:rFonts w:ascii="Cambria Math" w:hAnsi="Cambria Math"/>
              </w:rPr>
              <m:t xml:space="preserve"> ν</m:t>
            </m:r>
          </m:e>
          <m:sub>
            <m:r>
              <w:rPr>
                <w:rFonts w:ascii="Cambria Math" w:hAnsi="Cambria Math"/>
              </w:rPr>
              <m:t>pGlcT</m:t>
            </m:r>
          </m:sub>
        </m:sSub>
      </m:oMath>
      <w:r w:rsidR="000D174B">
        <w:rPr>
          <w:rFonts w:eastAsiaTheme="minorEastAsia"/>
        </w:rPr>
        <w:t xml:space="preserve"> (pGl</w:t>
      </w:r>
      <w:r>
        <w:rPr>
          <w:rFonts w:eastAsiaTheme="minorEastAsia"/>
        </w:rPr>
        <w:t>cT-catalyzed glucose transport) have been specified in the model formulation part of the Methods section, and the values of th</w:t>
      </w:r>
      <w:r w:rsidR="000D174B">
        <w:rPr>
          <w:rFonts w:eastAsiaTheme="minorEastAsia"/>
        </w:rPr>
        <w:t>e related parameters  in Table 6</w:t>
      </w:r>
      <w:r>
        <w:rPr>
          <w:rFonts w:eastAsiaTheme="minorEastAsia"/>
        </w:rPr>
        <w:t xml:space="preserve">; </w:t>
      </w:r>
      <m:oMath>
        <m:sSub>
          <m:sSubPr>
            <m:ctrlPr>
              <w:rPr>
                <w:rFonts w:ascii="Cambria Math" w:hAnsi="Cambria Math"/>
                <w:i/>
              </w:rPr>
            </m:ctrlPr>
          </m:sSubPr>
          <m:e>
            <m:r>
              <w:rPr>
                <w:rFonts w:ascii="Cambria Math" w:hAnsi="Cambria Math"/>
              </w:rPr>
              <m:t>ν</m:t>
            </m:r>
          </m:e>
          <m:sub>
            <m:r>
              <w:rPr>
                <w:rFonts w:ascii="Cambria Math" w:hAnsi="Cambria Math"/>
              </w:rPr>
              <m:t>HexK</m:t>
            </m:r>
          </m:sub>
        </m:sSub>
      </m:oMath>
      <w:r>
        <w:rPr>
          <w:rFonts w:eastAsiaTheme="minorEastAsia"/>
        </w:rPr>
        <w:t xml:space="preserve"> (hexokinase) is equated to the right-hand side of Eq. A1 in Ref. 50.</w:t>
      </w:r>
    </w:p>
    <w:p w:rsidR="00BE7CD8" w:rsidRDefault="00BE7CD8" w:rsidP="00BE7CD8"/>
    <w:sectPr w:rsidR="00BE7CD8" w:rsidSect="00E34EA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653BD"/>
    <w:rsid w:val="00086E35"/>
    <w:rsid w:val="000D174B"/>
    <w:rsid w:val="001668EA"/>
    <w:rsid w:val="002E6ACD"/>
    <w:rsid w:val="003D675D"/>
    <w:rsid w:val="004653BD"/>
    <w:rsid w:val="00576312"/>
    <w:rsid w:val="006267B2"/>
    <w:rsid w:val="007E72AA"/>
    <w:rsid w:val="00A20786"/>
    <w:rsid w:val="00BE7CD8"/>
    <w:rsid w:val="00E34EA9"/>
    <w:rsid w:val="00FC25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53BD"/>
    <w:pPr>
      <w:spacing w:after="0" w:line="480" w:lineRule="auto"/>
    </w:pPr>
    <w:rPr>
      <w:rFonts w:ascii="Times New Roman" w:eastAsia="Times New Roman" w:hAnsi="Times New Roman" w:cs="Times New Roman"/>
      <w:sz w:val="24"/>
      <w:szCs w:val="24"/>
      <w:lang w:val="en-GB"/>
    </w:rPr>
  </w:style>
  <w:style w:type="paragraph" w:styleId="Heading2">
    <w:name w:val="heading 2"/>
    <w:basedOn w:val="Normal"/>
    <w:next w:val="Normal"/>
    <w:link w:val="Heading2Char"/>
    <w:uiPriority w:val="9"/>
    <w:qFormat/>
    <w:rsid w:val="002E6ACD"/>
    <w:pPr>
      <w:keepNext/>
      <w:spacing w:before="240" w:after="60" w:line="240" w:lineRule="auto"/>
      <w:outlineLvl w:val="1"/>
    </w:pPr>
    <w:rPr>
      <w:b/>
      <w:bCs/>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6ACD"/>
    <w:rPr>
      <w:rFonts w:ascii="Times New Roman" w:eastAsia="Times New Roman" w:hAnsi="Times New Roman" w:cs="Times New Roman"/>
      <w:b/>
      <w:bCs/>
      <w:szCs w:val="28"/>
      <w:lang w:val="en-GB"/>
    </w:rPr>
  </w:style>
  <w:style w:type="paragraph" w:styleId="BalloonText">
    <w:name w:val="Balloon Text"/>
    <w:basedOn w:val="Normal"/>
    <w:link w:val="BalloonTextChar"/>
    <w:uiPriority w:val="99"/>
    <w:semiHidden/>
    <w:unhideWhenUsed/>
    <w:rsid w:val="00BE7CD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7CD8"/>
    <w:rPr>
      <w:rFonts w:ascii="Tahoma" w:eastAsia="Times New Roman"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93EB72-C2BD-428F-8A20-474B1C064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4</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Chang</dc:creator>
  <cp:keywords/>
  <dc:description/>
  <cp:lastModifiedBy>Christopher H. Chang</cp:lastModifiedBy>
  <cp:revision>6</cp:revision>
  <dcterms:created xsi:type="dcterms:W3CDTF">2011-05-11T19:01:00Z</dcterms:created>
  <dcterms:modified xsi:type="dcterms:W3CDTF">2011-05-14T18:20:00Z</dcterms:modified>
</cp:coreProperties>
</file>