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80"/>
        <w:jc w:val="center"/>
        <w:rPr>
          <w:rFonts w:ascii="Arial" w:hAnsi="Arial"/>
        </w:rPr>
      </w:pPr>
      <w:r>
        <w:rPr>
          <w:rFonts w:ascii="Arial" w:hAnsi="Arial"/>
          <w:b/>
          <w:color w:val="1C1612"/>
          <w:sz w:val="52"/>
        </w:rPr>
        <w:t>TWO THREADS STUDIO</w:t>
      </w:r>
    </w:p>
    <w:p>
      <w:pPr>
        <w:pStyle w:val="Normal"/>
        <w:spacing w:before="0" w:after="720"/>
        <w:jc w:val="center"/>
        <w:rPr>
          <w:rFonts w:ascii="Arial" w:hAnsi="Arial"/>
        </w:rPr>
      </w:pPr>
      <w:r>
        <w:rPr>
          <w:rFonts w:ascii="Arial" w:hAnsi="Arial"/>
          <w:i/>
          <w:color w:val="A16C39"/>
          <w:sz w:val="26"/>
        </w:rPr>
        <w:t>Strategic Product Opportunity &amp; Financial Profitability Blueprint</w:t>
      </w:r>
    </w:p>
    <w:p>
      <w:pPr>
        <w:pStyle w:val="Normal"/>
        <w:spacing w:before="0" w:after="480"/>
        <w:jc w:val="left"/>
        <w:rPr>
          <w:rFonts w:ascii="Arial" w:hAnsi="Arial"/>
        </w:rPr>
      </w:pPr>
      <w:r>
        <w:rPr>
          <w:rFonts w:ascii="Arial" w:hAnsi="Arial"/>
          <w:b/>
        </w:rPr>
        <w:t xml:space="preserve">Prepared By: </w:t>
      </w:r>
      <w:r>
        <w:rPr>
          <w:rFonts w:ascii="Arial" w:hAnsi="Arial"/>
          <w:b w:val="false"/>
          <w:bCs w:val="false"/>
        </w:rPr>
        <w:t>SYS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Fonts w:ascii="Arial" w:hAnsi="Arial"/>
          <w:b w:val="false"/>
          <w:bCs w:val="false"/>
        </w:rPr>
        <w:t xml:space="preserve">Husband of </w:t>
      </w:r>
      <w:r>
        <w:rPr>
          <w:rFonts w:ascii="Arial" w:hAnsi="Arial"/>
          <w:b w:val="false"/>
          <w:bCs w:val="false"/>
        </w:rPr>
        <w:t>Chief Executive Officer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Prepared For: </w:t>
      </w:r>
      <w:r>
        <w:rPr>
          <w:rFonts w:ascii="Arial" w:hAnsi="Arial"/>
        </w:rPr>
        <w:t>Two Threads Studio Board of Directors</w:t>
        <w:br/>
      </w:r>
      <w:r>
        <w:rPr>
          <w:rFonts w:ascii="Arial" w:hAnsi="Arial"/>
          <w:b/>
        </w:rPr>
        <w:t xml:space="preserve">Date: </w:t>
      </w:r>
      <w:r>
        <w:rPr>
          <w:rFonts w:ascii="Arial" w:hAnsi="Arial"/>
        </w:rPr>
        <w:t>July 2026</w:t>
        <w:br/>
      </w:r>
      <w:r>
        <w:rPr>
          <w:rFonts w:ascii="Arial" w:hAnsi="Arial"/>
          <w:b/>
        </w:rPr>
        <w:t xml:space="preserve">Target Core Position: </w:t>
      </w:r>
      <w:r>
        <w:rPr>
          <w:rFonts w:ascii="Arial" w:hAnsi="Arial"/>
        </w:rPr>
        <w:t>Accessible Premium Craftsmanship (Core Sweet Spot: ₹1,500 – ₹5,000)</w:t>
      </w:r>
    </w:p>
    <w:p>
      <w:pPr>
        <w:pStyle w:val="Normal"/>
        <w:spacing w:before="0" w:after="480"/>
        <w:jc w:val="left"/>
        <w:rPr>
          <w:rFonts w:ascii="Arial" w:hAnsi="Arial"/>
        </w:rPr>
      </w:pPr>
      <w:r>
        <w:rPr>
          <w:rFonts w:ascii="Arial" w:hAnsi="Arial"/>
        </w:rPr>
        <w:t xml:space="preserve">Future Price : 10k-20k per product </w:t>
      </w:r>
    </w:p>
    <w:p>
      <w:pPr>
        <w:pStyle w:val="Normal"/>
        <w:spacing w:before="0" w:after="360"/>
        <w:rPr>
          <w:rFonts w:ascii="Arial" w:hAnsi="Arial"/>
        </w:rPr>
      </w:pPr>
      <w:r>
        <w:rPr>
          <w:rFonts w:ascii="Arial" w:hAnsi="Arial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1. Executive Strategic Summary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Based on current premium interior design, contemporary home décor, gifting, and sustainably driven lifestyle trends, this report establishes a highly scalable, multi-tier product framework for Two Threads Studio. By marrying heritage human craftsmanship with an accessible premium pricing structure, the studio targets modern urban aesthetics while achieving strong unit economics.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The modern consumer increasingly rejects mass-produced commercial items in favor of slow-made, narrative-rich, tactile home essentials. Each curated product vertical in this blueprint requires low capital expenditure constraints, leverages highly optimized material supply chains, and delivers attractive profit margins spanning 55% to 75%. This establishes a highly robust cash flow base while validating brand presence before climbing higher luxury tiers.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2. Core Product Portfolio &amp; Financial Breakdown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A. Lippan Art Canvas &amp; Wall Décor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Rooted in traditional mud and mirror art, our updated Lippan Art line uses sleek modern geometry and sophisticated color palettes optimized for premium contemporary interior architecture, home giftings, and housewarmings.</w:t>
      </w:r>
    </w:p>
    <w:tbl>
      <w:tblPr>
        <w:tblW w:w="9030" w:type="dxa"/>
        <w:jc w:val="center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Product Variant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Avg. Retail Price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Est. Making Cost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Expected Profit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Lippan Art Wall Frame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₹3,500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400 – ₹1,200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800 – ₹2,300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60–70%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Lippan Art Custom Name Plate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₹2,500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400 – ₹800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800 – ₹1,700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65–68%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Lippan Art Decorative Mirror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₹5,000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900 – ₹3,200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60–70%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Lippan Art Mandala Wall Panel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2,500 – ₹8,000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800 – ₹2,500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1,700 – ₹5,500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68–75%</w:t>
            </w:r>
          </w:p>
        </w:tc>
      </w:tr>
    </w:tbl>
    <w:p>
      <w:pPr>
        <w:pStyle w:val="Normal"/>
        <w:spacing w:before="160" w:after="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B. Artisanal Crochet Needlework Collection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Moving past traditional novelties, our crochet vertical bridges lifestyle accessories, premium gifting, and ready-to-wear editorial outerwear layer options.</w:t>
      </w:r>
    </w:p>
    <w:tbl>
      <w:tblPr>
        <w:tblW w:w="9030" w:type="dxa"/>
        <w:jc w:val="center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Product Variant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Avg. Retail Price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Est. Making Cost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Expected Profit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Design Keychains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250 – ₹600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 – ₹150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190 – ₹450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65–75%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Art Flower Bouquets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800 – ₹3,000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250 – ₹900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555 – ₹2,100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60–70%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Premium Table Runners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₹4,500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500 – ₹1,500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1,000 – ₹3,000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65–67%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Fine Knit Shrugs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2,000 – ₹5,500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700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1,300 – ₹3,700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65–68%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Bohemian Jackets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3,500 – ₹9,500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₹3,000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2,300 – ₹6,500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Home Accent Coasters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400 – ₹1,200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100 – ₹300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300 – ₹900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70–75%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Crochet Heirloom Keepsake Dolls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₹4,000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450 – ₹1,200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1,050 – ₹2,800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Artisanal Crochet Handbags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1,800 – ₹5,000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600 – ₹1,500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₹3,500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66–70%</w:t>
            </w:r>
          </w:p>
        </w:tc>
      </w:tr>
    </w:tbl>
    <w:p>
      <w:pPr>
        <w:pStyle w:val="Normal"/>
        <w:spacing w:before="160" w:after="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C. Sculptural Macramé Textile Installations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Beautifully engineered structural fiber designs using natural unbleached organic cotton cords to create visual warmth and rich layered texture for modern residential layouts.</w:t>
      </w:r>
    </w:p>
    <w:tbl>
      <w:tblPr>
        <w:tblW w:w="9030" w:type="dxa"/>
        <w:jc w:val="center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Product Variant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Avg. Retail Price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Est. Making Cost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Expected Profit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Macramé Geometric Mirror Frame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₹4,000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350 – ₹1,200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850 – ₹2,800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Macramé Statement Wall Hanging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₹6,000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450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1,050 – ₹4,200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Macramé Organic Plant Hangers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500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150 – ₹500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350 – ₹1,300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68–72%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Macramé Floating Wall Shelves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1,800 – ₹5,500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600 – ₹1,900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₹3,600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65–67%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Macramé Studio Room Dividers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4,500 – ₹12,000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₹4,000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3,000 – ₹8,000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66–70%</w:t>
            </w:r>
          </w:p>
        </w:tc>
      </w:tr>
    </w:tbl>
    <w:p>
      <w:pPr>
        <w:pStyle w:val="Normal"/>
        <w:spacing w:before="160" w:after="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 xml:space="preserve">D. Premium Botanical &amp; Wellness Scented Candles </w:t>
      </w:r>
      <w:r>
        <w:rPr>
          <w:rFonts w:ascii="Arial" w:hAnsi="Arial"/>
        </w:rPr>
        <w:t>(OPTIONAL)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An optional but highly transactional recurring category featuring clean soy wax formulas blended with pure essential oils housed in exquisite reusable containers.</w:t>
      </w:r>
    </w:p>
    <w:tbl>
      <w:tblPr>
        <w:tblW w:w="9030" w:type="dxa"/>
        <w:jc w:val="center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Product Variant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Avg. Retail Price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Est. Making Cost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Expected Profit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Aesthetic Soy Wax Amber Jar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500 – ₹1,500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150 – ₹450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350 – ₹1,050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68–70%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Aromatherapy Wellness Glass Tin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180 – ₹540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420 – ₹1,260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Luxury Curator Gift Candle Set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1,800 – ₹4,500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550 – ₹1,400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1,250 – ₹3,100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68–71%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Hotel &amp; Bespoke Spa Bulk Packs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250 – ₹500/unit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90 – ₹180/unit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160 – ₹320/unit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55–64%</w:t>
            </w:r>
          </w:p>
        </w:tc>
      </w:tr>
    </w:tbl>
    <w:p>
      <w:pPr>
        <w:pStyle w:val="Normal"/>
        <w:spacing w:before="160" w:after="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E. Fine Embroidery Art &amp; Creative DIY Kits (Core Brand Anchor)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Returning directly to the foundational heart of Two Threads Studio, this segment builds customer engagement through high-margin creative interaction alongside beautifully finished premium needlework frames.</w:t>
      </w:r>
    </w:p>
    <w:tbl>
      <w:tblPr>
        <w:tblW w:w="9030" w:type="dxa"/>
        <w:jc w:val="center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  <w:tblLook w:firstRow="1" w:noVBand="1" w:lastRow="0" w:firstColumn="1" w:lastColumn="0" w:noHBand="0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Product Variant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Avg. Retail Price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Est. Making Cost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Expected Profit</w:t>
            </w:r>
          </w:p>
        </w:tc>
        <w:tc>
          <w:tcPr>
            <w:tcW w:w="1806" w:type="dxa"/>
            <w:tcBorders/>
            <w:shd w:color="auto" w:fill="1C1612" w:val="clea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Signature Floral Hoop Art Kit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1,200 – ₹2,500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350 – ₹700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850 – ₹1,800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70–72%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Bespoke Hand-Embroidered Portrait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3,000 – ₹9,000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800 – ₹2,200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2,200 – ₹6,800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73–75%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Embroidered Premium Linen Napkins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1,500 – ₹3,800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450 – ₹1,100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1,050 – ₹2,700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70%</w:t>
            </w:r>
          </w:p>
        </w:tc>
      </w:tr>
      <w:tr>
        <w:trPr/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>Botanical Canvas Stitching Guide Pack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600 – ₹1,500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150 – ₹350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₹</w:t>
            </w:r>
            <w:r>
              <w:rPr>
                <w:rFonts w:ascii="Arial" w:hAnsi="Arial"/>
                <w:sz w:val="19"/>
              </w:rPr>
              <w:t>450 – ₹1,150</w:t>
            </w:r>
          </w:p>
        </w:tc>
        <w:tc>
          <w:tcPr>
            <w:tcW w:w="1806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12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A16C39"/>
                <w:sz w:val="19"/>
              </w:rPr>
              <w:t>75%</w:t>
            </w:r>
          </w:p>
        </w:tc>
      </w:tr>
    </w:tbl>
    <w:p>
      <w:pPr>
        <w:pStyle w:val="Normal"/>
        <w:spacing w:before="160" w:after="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3. Market Growth &amp; Consumer Traction Triggers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rFonts w:ascii="Arial" w:hAnsi="Arial"/>
        </w:rPr>
      </w:pPr>
      <w:r>
        <w:rPr>
          <w:rFonts w:ascii="Arial" w:hAnsi="Arial"/>
          <w:b/>
          <w:color w:val="A16C39"/>
        </w:rPr>
        <w:t xml:space="preserve">High Aesthetic Footprint: </w:t>
      </w:r>
      <w:r>
        <w:rPr>
          <w:rFonts w:ascii="Arial" w:hAnsi="Arial"/>
        </w:rPr>
        <w:t>These product variations align perfectly with visual-first marketing channels such as Instagram, Pinterest, and YouTube Shorts, optimizing organic brand acquisition metrics.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rFonts w:ascii="Arial" w:hAnsi="Arial"/>
        </w:rPr>
      </w:pPr>
      <w:r>
        <w:rPr>
          <w:rFonts w:ascii="Arial" w:hAnsi="Arial"/>
          <w:b/>
          <w:color w:val="A16C39"/>
        </w:rPr>
        <w:t xml:space="preserve">Premium Gift Strategy: </w:t>
      </w:r>
      <w:r>
        <w:rPr>
          <w:rFonts w:ascii="Arial" w:hAnsi="Arial"/>
        </w:rPr>
        <w:t>The entire collection is engineered to integrate seamlessly into housewarming, corporate gifting, festival, and anniversary milestones, allowing for highly profitable product bundling configurations.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rFonts w:ascii="Arial" w:hAnsi="Arial"/>
        </w:rPr>
      </w:pPr>
      <w:r>
        <w:rPr>
          <w:rFonts w:ascii="Arial" w:hAnsi="Arial"/>
          <w:b/>
          <w:color w:val="A16C39"/>
        </w:rPr>
        <w:t xml:space="preserve">Customization Vectors: </w:t>
      </w:r>
      <w:r>
        <w:rPr>
          <w:rFonts w:ascii="Arial" w:hAnsi="Arial"/>
        </w:rPr>
        <w:t>Introducing dynamic monogramming, sizing options, and personalized embroidery elements builds significant customer delight while commanding an immediate premium upgrade markup.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rFonts w:ascii="Arial" w:hAnsi="Arial"/>
        </w:rPr>
      </w:pPr>
      <w:r>
        <w:rPr>
          <w:rFonts w:ascii="Arial" w:hAnsi="Arial"/>
          <w:b/>
          <w:color w:val="A16C39"/>
        </w:rPr>
        <w:t xml:space="preserve">Atelier Workshop Funnels: </w:t>
      </w:r>
      <w:r>
        <w:rPr>
          <w:rFonts w:ascii="Arial" w:hAnsi="Arial"/>
        </w:rPr>
        <w:t>Leveraging DIY Stitching Kits drives low-friction ecosystem entry points, developing high retention cohorts that graduate into high-value finished statement frames.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4. Operational Implementation Roadmap</w:t>
      </w:r>
    </w:p>
    <w:tbl>
      <w:tblPr>
        <w:tblW w:w="9030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w="3010" w:type="dxa"/>
            <w:tcBorders/>
            <w:shd w:color="auto" w:fill="4A3225" w:val="clear"/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Phase / Timeline</w:t>
            </w:r>
          </w:p>
        </w:tc>
        <w:tc>
          <w:tcPr>
            <w:tcW w:w="3010" w:type="dxa"/>
            <w:tcBorders/>
            <w:shd w:color="auto" w:fill="4A3225" w:val="clear"/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Strategic Focus Area</w:t>
            </w:r>
          </w:p>
        </w:tc>
        <w:tc>
          <w:tcPr>
            <w:tcW w:w="3010" w:type="dxa"/>
            <w:tcBorders/>
            <w:shd w:color="auto" w:fill="4A3225" w:val="clear"/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Key Deliverables</w:t>
            </w:r>
          </w:p>
        </w:tc>
      </w:tr>
      <w:tr>
        <w:trPr/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C1612"/>
                <w:sz w:val="19"/>
              </w:rPr>
              <w:t>Phase 1</w:t>
              <w:br/>
              <w:t>Months 1–2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Core Supply Chain Validation &amp; Sample Runs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Establish bulk yarn, natural canvas thread, clay, and mirror supply agreements. Finalize prototype runs for Lippan Art frames and signature Crochet flower bouquets.</w:t>
            </w:r>
          </w:p>
        </w:tc>
      </w:tr>
      <w:tr>
        <w:trPr/>
        <w:tc>
          <w:tcPr>
            <w:tcW w:w="3010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C1612"/>
                <w:sz w:val="19"/>
              </w:rPr>
              <w:t>Phase 2</w:t>
              <w:br/>
              <w:t>Months 3–4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Premium Brand Launch &amp; Digital Storefront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DFBF7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Deploy responsive, modular frontend storefront infrastructure. Complete lifestyle editorial photography passes utilizing native off-white assets. Initialize early organic social outreach hooks.</w:t>
            </w:r>
          </w:p>
        </w:tc>
      </w:tr>
      <w:tr>
        <w:trPr/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C1612"/>
                <w:sz w:val="19"/>
              </w:rPr>
              <w:t>Phase 3</w:t>
              <w:br/>
              <w:t>Months 5–6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0" w:after="120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Scale Interventions &amp; Custom Channel Growth</w:t>
            </w:r>
          </w:p>
        </w:tc>
        <w:tc>
          <w:tcPr>
            <w:tcW w:w="3010" w:type="dxa"/>
            <w:tcBorders>
              <w:bottom w:val="single" w:sz="4" w:space="0" w:color="D3CFC0"/>
            </w:tcBorders>
            <w:shd w:color="auto"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sz w:val="19"/>
              </w:rPr>
              <w:t>Roll out bespoke custom family embroidery commission options and premium corporate gift bundles. Launch bulk partner tin candle line options targeted at boutique hospitality venues.</w:t>
            </w:r>
          </w:p>
          <w:p>
            <w:pPr>
              <w:pStyle w:val="Normal"/>
              <w:spacing w:before="0" w:after="120"/>
              <w:rPr>
                <w:sz w:val="19"/>
              </w:rPr>
            </w:pPr>
            <w:r>
              <w:rPr>
                <w:rFonts w:ascii="Arial" w:hAnsi="Arial"/>
              </w:rPr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Inter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left"/>
    </w:pPr>
    <w:rPr>
      <w:rFonts w:ascii="Inter" w:hAnsi="Inter" w:eastAsia="ＭＳ 明朝" w:cs=""/>
      <w:color w:val="2D252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C161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A16C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LibreOffice/7.6.4.1$Windows_X86_64 LibreOffice_project/e19e193f88cd6c0525a17fb7a176ed8e6a3e2aa1</Application>
  <AppVersion>15.0000</AppVersion>
  <Pages>6</Pages>
  <Words>897</Words>
  <Characters>5582</Characters>
  <CharactersWithSpaces>6342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2026-07-07T14:48:55Z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