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50EA7" w:rsidRDefault="00650EA7"/>
    <w:p w:rsidR="00470F17" w:rsidRDefault="00470F17"/>
    <w:p w:rsidR="00470F17" w:rsidRDefault="00470F17"/>
    <w:p w:rsidR="00650EA7" w:rsidRDefault="00650EA7">
      <w:r>
        <w:t xml:space="preserve">Minimum requirements, per section 8.2 of </w:t>
      </w:r>
      <w:proofErr w:type="spellStart"/>
      <w:r>
        <w:t>Elearning</w:t>
      </w:r>
      <w:proofErr w:type="spellEnd"/>
      <w:r>
        <w:t xml:space="preserve"> Asset Development Guide</w:t>
      </w:r>
    </w:p>
    <w:p w:rsidR="00650EA7" w:rsidRDefault="00650EA7" w:rsidP="00650EA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elements are appropriately described through ALT tags or D-links. (See Section 5.4)</w:t>
      </w:r>
    </w:p>
    <w:p w:rsidR="00650EA7" w:rsidRDefault="00650EA7" w:rsidP="00650EA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screen elements have a designated tab order that allows for meaningful “within page” navigation that does not require use of a mouse and that lead a screen reader through the text appropriately.  </w:t>
      </w:r>
    </w:p>
    <w:p w:rsidR="00650EA7" w:rsidRDefault="00650EA7" w:rsidP="00650EA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necessary, alternative pages may be programmed to allow for comparable learning experiences (for example, providing a series of fill in the blank questions as an alternative to a drag/drop exercise). </w:t>
      </w:r>
    </w:p>
    <w:p w:rsidR="00650EA7" w:rsidRDefault="00650EA7" w:rsidP="00650EA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Screen text and color choices provide good contrast, clarity, and readability. (See Section 5.6)</w:t>
      </w:r>
    </w:p>
    <w:p w:rsidR="00650EA7" w:rsidRDefault="00650EA7" w:rsidP="00650EA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Audio and video files are supported with the appropriate controls and are aligned with accessible text. (See Section 5.7) </w:t>
      </w:r>
    </w:p>
    <w:p w:rsidR="00EE388D" w:rsidRDefault="00EE388D"/>
    <w:p w:rsidR="00EE388D" w:rsidRDefault="00EE388D"/>
    <w:p w:rsidR="00EE388D" w:rsidRDefault="00EE388D">
      <w:r>
        <w:t>JAWS for Monika</w:t>
      </w:r>
    </w:p>
    <w:p w:rsidR="00EE388D" w:rsidRDefault="00EE388D"/>
    <w:p w:rsidR="00EE388D" w:rsidRDefault="00EE388D">
      <w:r>
        <w:t>In last project, had to communicate with Atlas Pro – e.g., so that the menu would appear in Atlas. In current design, don’t need to do that.</w:t>
      </w:r>
    </w:p>
    <w:p w:rsidR="00EE388D" w:rsidRDefault="00EE388D">
      <w:r>
        <w:rPr>
          <w:noProof/>
        </w:rPr>
        <w:drawing>
          <wp:inline distT="0" distB="0" distL="0" distR="0">
            <wp:extent cx="5486400" cy="3399692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8D" w:rsidRDefault="00EE388D"/>
    <w:p w:rsidR="00EE388D" w:rsidRDefault="00EE388D"/>
    <w:p w:rsidR="00EE388D" w:rsidRDefault="00EE388D">
      <w:r>
        <w:t xml:space="preserve">Minimum specs – from section 3.2.1 of the </w:t>
      </w:r>
      <w:proofErr w:type="spellStart"/>
      <w:r>
        <w:t>Elearning</w:t>
      </w:r>
      <w:proofErr w:type="spellEnd"/>
      <w:r>
        <w:t xml:space="preserve"> Asset Development Guide</w:t>
      </w:r>
    </w:p>
    <w:p w:rsidR="00EE388D" w:rsidRDefault="00EE388D"/>
    <w:p w:rsidR="00EE388D" w:rsidRPr="00604A59" w:rsidRDefault="00EE388D" w:rsidP="00EE388D">
      <w:pPr>
        <w:pStyle w:val="Heading3"/>
        <w:rPr>
          <w:rStyle w:val="Normal1"/>
          <w:rFonts w:cs="Times New Roman"/>
          <w:b w:val="0"/>
          <w:bCs w:val="0"/>
          <w:szCs w:val="24"/>
        </w:rPr>
      </w:pPr>
      <w:bookmarkStart w:id="0" w:name="_Toc212436340"/>
      <w:r w:rsidRPr="00604A59">
        <w:rPr>
          <w:rStyle w:val="Normal1"/>
          <w:rFonts w:cs="Arial"/>
        </w:rPr>
        <w:t>3.2.1 Courseware System Requirements</w:t>
      </w:r>
      <w:bookmarkEnd w:id="0"/>
    </w:p>
    <w:p w:rsidR="00EE388D" w:rsidRPr="00604A59" w:rsidRDefault="00EE388D" w:rsidP="00EE388D">
      <w:pPr>
        <w:pStyle w:val="Heading3"/>
        <w:rPr>
          <w:rStyle w:val="Normal1"/>
        </w:rPr>
      </w:pPr>
      <w:bookmarkStart w:id="1" w:name="_Toc163635712"/>
      <w:bookmarkStart w:id="2" w:name="_Toc170626547"/>
      <w:bookmarkStart w:id="3" w:name="_Toc212436341"/>
      <w:proofErr w:type="spellStart"/>
      <w:r w:rsidRPr="00604A59">
        <w:rPr>
          <w:rStyle w:val="Normal1"/>
          <w:rFonts w:cs="Arial"/>
          <w:b w:val="0"/>
        </w:rPr>
        <w:t>Elearning</w:t>
      </w:r>
      <w:proofErr w:type="spellEnd"/>
      <w:r w:rsidRPr="00604A59">
        <w:rPr>
          <w:rStyle w:val="Normal1"/>
          <w:rFonts w:cs="Arial"/>
          <w:b w:val="0"/>
        </w:rPr>
        <w:t xml:space="preserve"> assets should be developed in accordance with the following minimum specifications for learners’ computers.</w:t>
      </w:r>
      <w:bookmarkEnd w:id="1"/>
      <w:bookmarkEnd w:id="2"/>
      <w:bookmarkEnd w:id="3"/>
      <w:r w:rsidRPr="00604A59">
        <w:rPr>
          <w:rStyle w:val="Normal1"/>
          <w:rFonts w:cs="Arial"/>
          <w:b w:val="0"/>
        </w:rPr>
        <w:t xml:space="preserve"> </w:t>
      </w:r>
    </w:p>
    <w:p w:rsidR="00EE388D" w:rsidRPr="00604A59" w:rsidRDefault="00EE388D" w:rsidP="00EE388D">
      <w:pPr>
        <w:pStyle w:val="Heading3"/>
        <w:rPr>
          <w:rStyle w:val="Normal1"/>
        </w:rPr>
      </w:pP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4" w:name="_Toc163635713"/>
      <w:bookmarkStart w:id="5" w:name="_Toc170626548"/>
      <w:bookmarkStart w:id="6" w:name="_Toc212436342"/>
      <w:r w:rsidRPr="00604A59">
        <w:rPr>
          <w:rStyle w:val="Normal1"/>
          <w:rFonts w:cs="Arial"/>
          <w:b w:val="0"/>
        </w:rPr>
        <w:t>Windows XP Service Pack 3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7" w:name="_Toc163635714"/>
      <w:bookmarkStart w:id="8" w:name="_Toc170626549"/>
      <w:bookmarkStart w:id="9" w:name="_Toc212436343"/>
      <w:bookmarkEnd w:id="4"/>
      <w:bookmarkEnd w:id="5"/>
      <w:bookmarkEnd w:id="6"/>
      <w:r w:rsidRPr="00604A59">
        <w:rPr>
          <w:rStyle w:val="Normal1"/>
          <w:rFonts w:cs="Arial"/>
          <w:b w:val="0"/>
        </w:rPr>
        <w:t xml:space="preserve">Internet Explorer </w:t>
      </w:r>
      <w:bookmarkEnd w:id="7"/>
      <w:bookmarkEnd w:id="8"/>
      <w:bookmarkEnd w:id="9"/>
      <w:r w:rsidRPr="00604A59">
        <w:rPr>
          <w:rStyle w:val="Normal1"/>
          <w:rFonts w:cs="Arial"/>
          <w:b w:val="0"/>
        </w:rPr>
        <w:t>7.0-8.0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10" w:name="_Toc163635716"/>
      <w:bookmarkStart w:id="11" w:name="_Toc170626551"/>
      <w:bookmarkStart w:id="12" w:name="_Toc212436345"/>
      <w:r w:rsidRPr="00604A59">
        <w:rPr>
          <w:rStyle w:val="Normal1"/>
          <w:rFonts w:cs="Arial"/>
          <w:b w:val="0"/>
        </w:rPr>
        <w:t>Browser Settings:</w:t>
      </w:r>
      <w:bookmarkEnd w:id="10"/>
      <w:bookmarkEnd w:id="11"/>
      <w:bookmarkEnd w:id="12"/>
      <w:r w:rsidRPr="00604A59">
        <w:rPr>
          <w:rStyle w:val="Normal1"/>
          <w:rFonts w:cs="Arial"/>
          <w:b w:val="0"/>
        </w:rPr>
        <w:tab/>
      </w:r>
    </w:p>
    <w:p w:rsidR="00EE388D" w:rsidRPr="00604A59" w:rsidRDefault="00EE388D" w:rsidP="00EE388D">
      <w:pPr>
        <w:pStyle w:val="Heading3"/>
        <w:numPr>
          <w:ilvl w:val="1"/>
          <w:numId w:val="1"/>
        </w:numPr>
        <w:rPr>
          <w:rStyle w:val="Normal1"/>
        </w:rPr>
      </w:pPr>
      <w:bookmarkStart w:id="13" w:name="_Toc163635717"/>
      <w:bookmarkStart w:id="14" w:name="_Toc170626552"/>
      <w:bookmarkStart w:id="15" w:name="_Toc212436346"/>
      <w:r w:rsidRPr="00604A59">
        <w:rPr>
          <w:rStyle w:val="Normal1"/>
          <w:rFonts w:cs="Arial"/>
          <w:b w:val="0"/>
        </w:rPr>
        <w:t>Pop-up blockers disabled</w:t>
      </w:r>
      <w:bookmarkEnd w:id="13"/>
      <w:bookmarkEnd w:id="14"/>
      <w:bookmarkEnd w:id="15"/>
    </w:p>
    <w:p w:rsidR="00EE388D" w:rsidRPr="00604A59" w:rsidRDefault="00EE388D" w:rsidP="00EE388D">
      <w:pPr>
        <w:pStyle w:val="Heading3"/>
        <w:numPr>
          <w:ilvl w:val="1"/>
          <w:numId w:val="1"/>
        </w:numPr>
        <w:rPr>
          <w:rStyle w:val="Normal1"/>
        </w:rPr>
      </w:pPr>
      <w:bookmarkStart w:id="16" w:name="_Toc163635718"/>
      <w:bookmarkStart w:id="17" w:name="_Toc170626553"/>
      <w:bookmarkStart w:id="18" w:name="_Toc212436347"/>
      <w:r w:rsidRPr="00604A59">
        <w:rPr>
          <w:rStyle w:val="Normal1"/>
          <w:rFonts w:cs="Arial"/>
          <w:b w:val="0"/>
        </w:rPr>
        <w:t>Cookies enabled at medium-low security level</w:t>
      </w:r>
      <w:bookmarkEnd w:id="16"/>
      <w:bookmarkEnd w:id="17"/>
      <w:bookmarkEnd w:id="18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19" w:name="_Toc163635719"/>
      <w:bookmarkStart w:id="20" w:name="_Toc170626554"/>
      <w:bookmarkStart w:id="21" w:name="_Toc212436348"/>
      <w:r w:rsidRPr="00604A59">
        <w:rPr>
          <w:rStyle w:val="Normal1"/>
          <w:rFonts w:cs="Arial"/>
          <w:b w:val="0"/>
        </w:rPr>
        <w:t>Java Runtime Environment: Enabled, version 1.3 or above - AJAX has replaced the necessity for Java. If students are still unable access their courses successfully, it is recommend that they have at least version 1.5.0 update 7 or higher, with the exceptions of 1.6.0_01 and 1.6.0_10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22" w:name="_Toc163635720"/>
      <w:bookmarkStart w:id="23" w:name="_Toc170626555"/>
      <w:bookmarkStart w:id="24" w:name="_Toc212436349"/>
      <w:bookmarkEnd w:id="19"/>
      <w:bookmarkEnd w:id="20"/>
      <w:bookmarkEnd w:id="21"/>
      <w:r w:rsidRPr="00604A59">
        <w:rPr>
          <w:rStyle w:val="Normal1"/>
          <w:rFonts w:cs="Arial"/>
          <w:b w:val="0"/>
        </w:rPr>
        <w:t xml:space="preserve">Adobe Flash Player Version </w:t>
      </w:r>
      <w:bookmarkEnd w:id="22"/>
      <w:bookmarkEnd w:id="23"/>
      <w:bookmarkEnd w:id="24"/>
      <w:r w:rsidRPr="00604A59">
        <w:rPr>
          <w:rStyle w:val="Normal1"/>
          <w:rFonts w:cs="Arial"/>
          <w:b w:val="0"/>
        </w:rPr>
        <w:t>10.3+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25" w:name="_Toc163635721"/>
      <w:bookmarkStart w:id="26" w:name="_Toc170626556"/>
      <w:bookmarkStart w:id="27" w:name="_Toc212436350"/>
      <w:r w:rsidRPr="00604A59">
        <w:rPr>
          <w:rStyle w:val="Normal1"/>
          <w:rFonts w:cs="Arial"/>
          <w:b w:val="0"/>
        </w:rPr>
        <w:t>Windows Media Player 11+</w:t>
      </w:r>
      <w:bookmarkEnd w:id="25"/>
      <w:bookmarkEnd w:id="26"/>
      <w:bookmarkEnd w:id="27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28" w:name="_Toc163635722"/>
      <w:bookmarkStart w:id="29" w:name="_Toc170626557"/>
      <w:bookmarkStart w:id="30" w:name="_Toc212436351"/>
      <w:r w:rsidRPr="00604A59">
        <w:rPr>
          <w:rStyle w:val="Normal1"/>
          <w:rFonts w:cs="Arial"/>
          <w:b w:val="0"/>
        </w:rPr>
        <w:t xml:space="preserve">Adobe Acrobat Reader Version </w:t>
      </w:r>
      <w:bookmarkEnd w:id="28"/>
      <w:bookmarkEnd w:id="29"/>
      <w:bookmarkEnd w:id="30"/>
      <w:r w:rsidRPr="00604A59">
        <w:rPr>
          <w:rStyle w:val="Normal1"/>
          <w:rFonts w:cs="Arial"/>
          <w:b w:val="0"/>
        </w:rPr>
        <w:t>9.4.4+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31" w:name="_Toc163635723"/>
      <w:bookmarkStart w:id="32" w:name="_Toc170626558"/>
      <w:bookmarkStart w:id="33" w:name="_Toc212436352"/>
      <w:r w:rsidRPr="00604A59">
        <w:rPr>
          <w:rStyle w:val="Normal1"/>
          <w:rFonts w:cs="Arial"/>
          <w:b w:val="0"/>
        </w:rPr>
        <w:t>Microsoft Office 2003 SP3</w:t>
      </w:r>
    </w:p>
    <w:p w:rsidR="00EE388D" w:rsidRPr="00604A59" w:rsidRDefault="00EE388D" w:rsidP="00EE388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604A59">
        <w:rPr>
          <w:rFonts w:ascii="Arial" w:hAnsi="Arial" w:cs="Arial"/>
          <w:color w:val="000000"/>
          <w:sz w:val="22"/>
          <w:szCs w:val="22"/>
        </w:rPr>
        <w:t>Adobe Shockwave Player 11+</w:t>
      </w:r>
    </w:p>
    <w:p w:rsidR="00EE388D" w:rsidRPr="00604A59" w:rsidRDefault="00EE388D" w:rsidP="00EE388D">
      <w:pPr>
        <w:numPr>
          <w:ilvl w:val="0"/>
          <w:numId w:val="1"/>
        </w:numPr>
        <w:spacing w:before="100" w:beforeAutospacing="1" w:after="100" w:afterAutospacing="1"/>
        <w:rPr>
          <w:rStyle w:val="Normal1"/>
        </w:rPr>
      </w:pPr>
      <w:r w:rsidRPr="00604A59">
        <w:rPr>
          <w:rFonts w:ascii="Arial" w:hAnsi="Arial" w:cs="Arial"/>
          <w:color w:val="000000"/>
          <w:sz w:val="22"/>
          <w:szCs w:val="22"/>
        </w:rPr>
        <w:t xml:space="preserve">Apple </w:t>
      </w:r>
      <w:proofErr w:type="spellStart"/>
      <w:r w:rsidRPr="00604A59">
        <w:rPr>
          <w:rFonts w:ascii="Arial" w:hAnsi="Arial" w:cs="Arial"/>
          <w:color w:val="000000"/>
          <w:sz w:val="22"/>
          <w:szCs w:val="22"/>
        </w:rPr>
        <w:t>Quicktime</w:t>
      </w:r>
      <w:proofErr w:type="spellEnd"/>
      <w:r w:rsidRPr="00604A59">
        <w:rPr>
          <w:rFonts w:ascii="Arial" w:hAnsi="Arial" w:cs="Arial"/>
          <w:color w:val="000000"/>
          <w:sz w:val="22"/>
          <w:szCs w:val="22"/>
        </w:rPr>
        <w:t xml:space="preserve"> 7.6.8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  <w:rFonts w:cs="Times New Roman"/>
          <w:b w:val="0"/>
          <w:bCs w:val="0"/>
          <w:szCs w:val="24"/>
        </w:rPr>
      </w:pPr>
      <w:r w:rsidRPr="00604A59">
        <w:rPr>
          <w:rStyle w:val="Normal1"/>
          <w:rFonts w:cs="Arial"/>
          <w:b w:val="0"/>
        </w:rPr>
        <w:t>Intel Pentium 4 Processor (1.6-2.4 GHz) or faster</w:t>
      </w:r>
      <w:bookmarkEnd w:id="31"/>
      <w:bookmarkEnd w:id="32"/>
      <w:bookmarkEnd w:id="33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34" w:name="_Toc163635724"/>
      <w:bookmarkStart w:id="35" w:name="_Toc170626559"/>
      <w:bookmarkStart w:id="36" w:name="_Toc212436353"/>
      <w:r w:rsidRPr="00604A59">
        <w:rPr>
          <w:rStyle w:val="Normal1"/>
          <w:rFonts w:cs="Arial"/>
          <w:b w:val="0"/>
        </w:rPr>
        <w:t xml:space="preserve">40GB </w:t>
      </w:r>
      <w:bookmarkEnd w:id="34"/>
      <w:bookmarkEnd w:id="35"/>
      <w:bookmarkEnd w:id="36"/>
      <w:r w:rsidRPr="00604A59">
        <w:rPr>
          <w:rStyle w:val="Normal1"/>
          <w:rFonts w:cs="Arial"/>
          <w:b w:val="0"/>
        </w:rPr>
        <w:t>of available hard disk space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37" w:name="_Toc163635725"/>
      <w:bookmarkStart w:id="38" w:name="_Toc170626560"/>
      <w:bookmarkStart w:id="39" w:name="_Toc212436354"/>
      <w:r w:rsidRPr="00604A59">
        <w:rPr>
          <w:rStyle w:val="Normal1"/>
          <w:rFonts w:cs="Arial"/>
          <w:b w:val="0"/>
        </w:rPr>
        <w:t>1 GB of RAM</w:t>
      </w:r>
      <w:bookmarkEnd w:id="37"/>
      <w:bookmarkEnd w:id="38"/>
      <w:bookmarkEnd w:id="39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40" w:name="_Toc163635726"/>
      <w:bookmarkStart w:id="41" w:name="_Toc170626561"/>
      <w:bookmarkStart w:id="42" w:name="_Toc212436355"/>
      <w:r w:rsidRPr="00604A59">
        <w:rPr>
          <w:rStyle w:val="Normal1"/>
          <w:rFonts w:cs="Arial"/>
          <w:b w:val="0"/>
        </w:rPr>
        <w:t>Screen Settings for Color Monitor:</w:t>
      </w:r>
      <w:bookmarkEnd w:id="40"/>
      <w:bookmarkEnd w:id="41"/>
      <w:bookmarkEnd w:id="42"/>
    </w:p>
    <w:p w:rsidR="00EE388D" w:rsidRPr="00604A59" w:rsidRDefault="00EE388D" w:rsidP="00EE388D">
      <w:pPr>
        <w:pStyle w:val="Heading3"/>
        <w:numPr>
          <w:ilvl w:val="1"/>
          <w:numId w:val="1"/>
        </w:numPr>
        <w:rPr>
          <w:rStyle w:val="Normal1"/>
        </w:rPr>
      </w:pPr>
      <w:bookmarkStart w:id="43" w:name="_Toc163635727"/>
      <w:bookmarkStart w:id="44" w:name="_Toc170626562"/>
      <w:bookmarkStart w:id="45" w:name="_Toc212436356"/>
      <w:r w:rsidRPr="00604A59">
        <w:rPr>
          <w:rStyle w:val="Normal1"/>
          <w:rFonts w:cs="Arial"/>
          <w:b w:val="0"/>
        </w:rPr>
        <w:t>1024 x 768 minimum resolution</w:t>
      </w:r>
      <w:bookmarkEnd w:id="43"/>
      <w:bookmarkEnd w:id="44"/>
      <w:bookmarkEnd w:id="45"/>
    </w:p>
    <w:p w:rsidR="00EE388D" w:rsidRPr="00604A59" w:rsidRDefault="00EE388D" w:rsidP="00EE388D">
      <w:pPr>
        <w:pStyle w:val="Heading3"/>
        <w:numPr>
          <w:ilvl w:val="1"/>
          <w:numId w:val="1"/>
        </w:numPr>
        <w:rPr>
          <w:rStyle w:val="Normal1"/>
        </w:rPr>
      </w:pPr>
      <w:bookmarkStart w:id="46" w:name="_Toc163635728"/>
      <w:bookmarkStart w:id="47" w:name="_Toc170626563"/>
      <w:bookmarkStart w:id="48" w:name="_Toc212436357"/>
      <w:r w:rsidRPr="00604A59">
        <w:rPr>
          <w:rStyle w:val="Normal1"/>
          <w:rFonts w:cs="Arial"/>
          <w:b w:val="0"/>
        </w:rPr>
        <w:t>Font size or DPI set to normal or small</w:t>
      </w:r>
      <w:bookmarkEnd w:id="46"/>
      <w:bookmarkEnd w:id="47"/>
      <w:bookmarkEnd w:id="48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49" w:name="_Toc163635729"/>
      <w:bookmarkStart w:id="50" w:name="_Toc170626564"/>
      <w:bookmarkStart w:id="51" w:name="_Toc212436358"/>
      <w:r w:rsidRPr="00604A59">
        <w:rPr>
          <w:rStyle w:val="Normal1"/>
          <w:rFonts w:cs="Arial"/>
          <w:b w:val="0"/>
        </w:rPr>
        <w:t>Internet Connection:  56 kbps</w:t>
      </w:r>
      <w:bookmarkEnd w:id="49"/>
      <w:bookmarkEnd w:id="50"/>
      <w:bookmarkEnd w:id="51"/>
      <w:r w:rsidRPr="00604A59">
        <w:rPr>
          <w:rStyle w:val="Normal1"/>
          <w:rFonts w:cs="Arial"/>
          <w:b w:val="0"/>
        </w:rPr>
        <w:t>+ (1.5 Mbps recommended)</w:t>
      </w:r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bookmarkStart w:id="52" w:name="_Toc163635730"/>
      <w:bookmarkStart w:id="53" w:name="_Toc170626565"/>
      <w:bookmarkStart w:id="54" w:name="_Toc212436359"/>
      <w:r w:rsidRPr="00604A59">
        <w:rPr>
          <w:rStyle w:val="Normal1"/>
          <w:rFonts w:cs="Arial"/>
          <w:b w:val="0"/>
        </w:rPr>
        <w:t>16 bit Sound Card and Speakers</w:t>
      </w:r>
      <w:bookmarkEnd w:id="52"/>
      <w:bookmarkEnd w:id="53"/>
      <w:bookmarkEnd w:id="54"/>
    </w:p>
    <w:p w:rsidR="00EE388D" w:rsidRPr="00604A59" w:rsidRDefault="00EE388D" w:rsidP="00EE388D">
      <w:pPr>
        <w:pStyle w:val="Heading3"/>
        <w:numPr>
          <w:ilvl w:val="0"/>
          <w:numId w:val="1"/>
        </w:numPr>
        <w:rPr>
          <w:rStyle w:val="Normal1"/>
        </w:rPr>
      </w:pPr>
      <w:r w:rsidRPr="00604A59">
        <w:rPr>
          <w:rStyle w:val="Normal1"/>
          <w:rFonts w:cs="Arial"/>
          <w:b w:val="0"/>
        </w:rPr>
        <w:t xml:space="preserve"> Print file sizes should not exceed 10 </w:t>
      </w:r>
      <w:proofErr w:type="gramStart"/>
      <w:r w:rsidRPr="00604A59">
        <w:rPr>
          <w:rStyle w:val="Normal1"/>
          <w:rFonts w:cs="Arial"/>
          <w:b w:val="0"/>
        </w:rPr>
        <w:t>Mb</w:t>
      </w:r>
      <w:proofErr w:type="gramEnd"/>
      <w:r w:rsidRPr="00604A59">
        <w:rPr>
          <w:rStyle w:val="Normal1"/>
          <w:rFonts w:cs="Arial"/>
          <w:b w:val="0"/>
        </w:rPr>
        <w:t xml:space="preserve"> per file.  </w:t>
      </w:r>
    </w:p>
    <w:p w:rsidR="00EE388D" w:rsidRDefault="00EE388D"/>
    <w:p w:rsidR="00EE388D" w:rsidRDefault="00EE388D"/>
    <w:p w:rsidR="00EE388D" w:rsidRPr="00B520DF" w:rsidRDefault="00EE388D" w:rsidP="00EE388D">
      <w:pPr>
        <w:pStyle w:val="Heading3"/>
      </w:pPr>
      <w:bookmarkStart w:id="55" w:name="_Toc212436371"/>
      <w:r w:rsidRPr="00B520DF">
        <w:t>4.4.1:  Continuous Learning Module Screen Design Parameters</w:t>
      </w:r>
      <w:bookmarkEnd w:id="55"/>
    </w:p>
    <w:p w:rsidR="00EE388D" w:rsidRPr="00086205" w:rsidRDefault="00EE388D" w:rsidP="00EE388D">
      <w:pPr>
        <w:pStyle w:val="SubBullets"/>
        <w:rPr>
          <w:rStyle w:val="normal0"/>
          <w:rFonts w:eastAsia="Arial Unicode MS" w:cs="Arial Unicode MS"/>
          <w:b/>
          <w:bCs/>
          <w:szCs w:val="27"/>
        </w:rPr>
      </w:pPr>
      <w:r>
        <w:rPr>
          <w:rStyle w:val="normal0"/>
        </w:rPr>
        <w:t xml:space="preserve">Table 1 presents general design parameters that DAU relies upon to assess the visual quality of a continuous learning module.  </w:t>
      </w:r>
    </w:p>
    <w:p w:rsidR="00EE388D" w:rsidRPr="003975A0" w:rsidRDefault="00EE388D" w:rsidP="00EE388D">
      <w:pPr>
        <w:pStyle w:val="SubBullets"/>
        <w:rPr>
          <w:rFonts w:ascii="Arial" w:hAnsi="Arial" w:cs="Arial"/>
          <w:sz w:val="22"/>
          <w:szCs w:val="22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8"/>
        <w:gridCol w:w="6832"/>
      </w:tblGrid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>Monitor and Module Resolutions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Optimize screen resolution to the 1024 x 768 mode. </w:t>
            </w:r>
          </w:p>
        </w:tc>
      </w:tr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>
              <w:t>Templates/</w:t>
            </w:r>
            <w:r w:rsidRPr="00DF35D8">
              <w:t>Scheme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>Keep the design simple and the look consistent</w:t>
            </w:r>
            <w:r>
              <w:t xml:space="preserve">. Templates must reflect DAU branding and approved </w:t>
            </w:r>
            <w:proofErr w:type="gramStart"/>
            <w:r>
              <w:t>lay-out</w:t>
            </w:r>
            <w:proofErr w:type="gramEnd"/>
            <w:r>
              <w:t xml:space="preserve">. </w:t>
            </w:r>
          </w:p>
        </w:tc>
      </w:tr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>Scrolling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>On all pages the content, including the header</w:t>
            </w:r>
            <w:r>
              <w:t xml:space="preserve"> and necessary graphics</w:t>
            </w:r>
            <w:r w:rsidRPr="00DF35D8">
              <w:t xml:space="preserve">, must fit within the content area of the screen. </w:t>
            </w:r>
            <w:r>
              <w:t xml:space="preserve"> Course pages should not scroll.  Text and graphic sizes should not be reduced below 11 points simply to eliminate scrolling.  </w:t>
            </w:r>
          </w:p>
        </w:tc>
      </w:tr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Consistent </w:t>
            </w:r>
            <w:r>
              <w:t>N</w:t>
            </w:r>
            <w:r w:rsidRPr="00DF35D8">
              <w:t>avigation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>Present visual and functional confirmation of student’s whereabouts and options for navigating through the site, via graphical design, navigation buttons, or uniformly placed hypertext links.</w:t>
            </w:r>
            <w:r>
              <w:t xml:space="preserve"> </w:t>
            </w:r>
            <w:r w:rsidRPr="00DF35D8">
              <w:t xml:space="preserve"> Include basic links (</w:t>
            </w:r>
            <w:r>
              <w:t>next, back</w:t>
            </w:r>
            <w:r w:rsidRPr="00DF35D8">
              <w:t>) on every page of the module</w:t>
            </w:r>
            <w:r>
              <w:t xml:space="preserve"> </w:t>
            </w:r>
          </w:p>
        </w:tc>
      </w:tr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>
              <w:t>Page Numbering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>
              <w:t xml:space="preserve">All pages within a SCO should be numbered.  At the start of each SCO, numbering must start again from one.  The format for page numbering must be: page X of Y.  </w:t>
            </w:r>
          </w:p>
        </w:tc>
      </w:tr>
      <w:tr w:rsidR="00EE388D" w:rsidRPr="00D005A5">
        <w:trPr>
          <w:trHeight w:val="148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Learner </w:t>
            </w:r>
            <w:r>
              <w:t>C</w:t>
            </w:r>
            <w:r w:rsidRPr="00DF35D8">
              <w:t xml:space="preserve">ontrolled, </w:t>
            </w:r>
            <w:r>
              <w:t>S</w:t>
            </w:r>
            <w:r w:rsidRPr="00DF35D8">
              <w:t xml:space="preserve">upplemental </w:t>
            </w:r>
            <w:proofErr w:type="gramStart"/>
            <w:r>
              <w:t>C</w:t>
            </w:r>
            <w:r w:rsidRPr="00DF35D8">
              <w:t xml:space="preserve">ontent  </w:t>
            </w:r>
            <w:proofErr w:type="gramEnd"/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Links that reveal extra information on a single page save the learner effort when supplementary materials are necessary or desirable.  References, external resources, and glossary terms are also presented in this fashion. </w:t>
            </w:r>
          </w:p>
        </w:tc>
      </w:tr>
      <w:tr w:rsidR="00EE388D" w:rsidRPr="00D005A5">
        <w:trPr>
          <w:trHeight w:val="1151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>
              <w:t>Knowledge Reviews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True/false, fill in the blank, and multiple choice review items are standard forms of interaction with feedback. </w:t>
            </w:r>
            <w:r>
              <w:t xml:space="preserve"> </w:t>
            </w:r>
            <w:r w:rsidRPr="00DF35D8">
              <w:t xml:space="preserve">These interactions are presented regularly throughout courseware. </w:t>
            </w:r>
            <w:r>
              <w:t xml:space="preserve"> </w:t>
            </w:r>
            <w:r w:rsidRPr="00DF35D8">
              <w:t xml:space="preserve">The use of case studies for resolving complex problems may apply if the instructional goals of the module demand such activities. </w:t>
            </w:r>
            <w:r>
              <w:t xml:space="preserve"> Additional review item formats may be created so long as they comply with the standards established in this document. </w:t>
            </w:r>
          </w:p>
        </w:tc>
      </w:tr>
      <w:tr w:rsidR="00EE388D" w:rsidRPr="00D005A5">
        <w:trPr>
          <w:trHeight w:val="863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>Content Organization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 xml:space="preserve">Keep information organized and chunked. </w:t>
            </w:r>
            <w:r>
              <w:t xml:space="preserve"> </w:t>
            </w:r>
            <w:r w:rsidRPr="00DF35D8">
              <w:t xml:space="preserve">Separate chunks of information with links or pages. </w:t>
            </w:r>
            <w:r>
              <w:t xml:space="preserve"> </w:t>
            </w:r>
            <w:r w:rsidRPr="00DF35D8">
              <w:t>Present only one concept, procedure, or item of instruction per screen. (Only include other items when used on an introductory or summary page.)</w:t>
            </w:r>
          </w:p>
        </w:tc>
      </w:tr>
      <w:tr w:rsidR="00EE388D" w:rsidRPr="00D005A5">
        <w:trPr>
          <w:trHeight w:val="476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>General</w:t>
            </w:r>
            <w:r>
              <w:t>-</w:t>
            </w:r>
            <w:r w:rsidRPr="00DF35D8">
              <w:t>to</w:t>
            </w:r>
            <w:r>
              <w:t>-</w:t>
            </w:r>
            <w:r w:rsidRPr="00DF35D8">
              <w:t xml:space="preserve">specific </w:t>
            </w:r>
            <w:r>
              <w:t>C</w:t>
            </w:r>
            <w:r w:rsidRPr="00DF35D8">
              <w:t xml:space="preserve">ontent </w:t>
            </w:r>
            <w:r>
              <w:t>P</w:t>
            </w:r>
            <w:r w:rsidRPr="00DF35D8">
              <w:t>resentation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>Start simple and build in complexity as the material is presented.</w:t>
            </w:r>
          </w:p>
        </w:tc>
      </w:tr>
      <w:tr w:rsidR="00EE388D" w:rsidRPr="00D005A5">
        <w:trPr>
          <w:trHeight w:val="523"/>
        </w:trPr>
        <w:tc>
          <w:tcPr>
            <w:tcW w:w="2408" w:type="dxa"/>
            <w:shd w:val="clear" w:color="auto" w:fill="D9D9D9"/>
          </w:tcPr>
          <w:p w:rsidR="00EE388D" w:rsidRPr="00DF35D8" w:rsidRDefault="00EE388D" w:rsidP="00EE388D">
            <w:pPr>
              <w:pStyle w:val="ListBullet"/>
            </w:pPr>
            <w:r w:rsidRPr="00DF35D8">
              <w:t>Objectives</w:t>
            </w:r>
          </w:p>
        </w:tc>
        <w:tc>
          <w:tcPr>
            <w:tcW w:w="6832" w:type="dxa"/>
          </w:tcPr>
          <w:p w:rsidR="00EE388D" w:rsidRPr="00DF35D8" w:rsidRDefault="00EE388D" w:rsidP="00EE388D">
            <w:pPr>
              <w:pStyle w:val="ListBullet"/>
            </w:pPr>
            <w:r w:rsidRPr="00DF35D8">
              <w:t>Create three or four instructional objectives per lesson that are obtainable within the scope of the lesson or module.</w:t>
            </w:r>
          </w:p>
        </w:tc>
      </w:tr>
    </w:tbl>
    <w:p w:rsidR="00EE388D" w:rsidRPr="004C0E02" w:rsidRDefault="00EE388D" w:rsidP="00EE388D">
      <w:pPr>
        <w:jc w:val="center"/>
        <w:rPr>
          <w:rFonts w:ascii="Arial" w:hAnsi="Arial" w:cs="Arial"/>
          <w:i/>
          <w:sz w:val="18"/>
          <w:szCs w:val="18"/>
        </w:rPr>
      </w:pPr>
      <w:r w:rsidRPr="004C0E02">
        <w:rPr>
          <w:rFonts w:ascii="Arial" w:hAnsi="Arial" w:cs="Arial"/>
          <w:i/>
          <w:sz w:val="18"/>
          <w:szCs w:val="18"/>
        </w:rPr>
        <w:t>Table 1: CLM Parameters</w:t>
      </w: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  <w:r w:rsidRPr="003975A0">
        <w:rPr>
          <w:rFonts w:ascii="Arial" w:hAnsi="Arial" w:cs="Arial"/>
          <w:sz w:val="22"/>
          <w:szCs w:val="22"/>
        </w:rPr>
        <w:t>When designing courseware for the CLC, the instructional content screen must contain elements that provide the learner with information about the module and a number of navigational controls and aids that allow students to navigate through the module and access references and glossary items easily. All main courseware screens must contain three primary areas:</w:t>
      </w:r>
    </w:p>
    <w:p w:rsidR="00EE388D" w:rsidRPr="003975A0" w:rsidRDefault="00EE388D" w:rsidP="00EE388D">
      <w:pPr>
        <w:pStyle w:val="Bullet"/>
        <w:numPr>
          <w:ilvl w:val="0"/>
          <w:numId w:val="0"/>
        </w:numPr>
        <w:ind w:left="720" w:hanging="360"/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pStyle w:val="Bulle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19D2">
        <w:rPr>
          <w:rFonts w:ascii="Arial" w:hAnsi="Arial" w:cs="Arial"/>
          <w:b/>
          <w:sz w:val="22"/>
          <w:szCs w:val="22"/>
        </w:rPr>
        <w:t>Module Navigation Toolbar</w:t>
      </w:r>
      <w:r>
        <w:rPr>
          <w:rFonts w:ascii="Arial" w:hAnsi="Arial" w:cs="Arial"/>
          <w:sz w:val="22"/>
          <w:szCs w:val="22"/>
        </w:rPr>
        <w:t>: t</w:t>
      </w:r>
      <w:r w:rsidRPr="003975A0">
        <w:rPr>
          <w:rFonts w:ascii="Arial" w:hAnsi="Arial" w:cs="Arial"/>
          <w:sz w:val="22"/>
          <w:szCs w:val="22"/>
        </w:rPr>
        <w:t>he Module Navigation bar allows the student to navigate the module using the “Back,” “Next” buttons</w:t>
      </w:r>
      <w:r>
        <w:rPr>
          <w:rFonts w:ascii="Arial" w:hAnsi="Arial" w:cs="Arial"/>
          <w:sz w:val="22"/>
          <w:szCs w:val="22"/>
        </w:rPr>
        <w:t>.  It may also provide</w:t>
      </w:r>
      <w:r w:rsidRPr="003975A0">
        <w:rPr>
          <w:rFonts w:ascii="Arial" w:hAnsi="Arial" w:cs="Arial"/>
          <w:sz w:val="22"/>
          <w:szCs w:val="22"/>
        </w:rPr>
        <w:t xml:space="preserve"> “Quick References” </w:t>
      </w:r>
      <w:r>
        <w:rPr>
          <w:rFonts w:ascii="Arial" w:hAnsi="Arial" w:cs="Arial"/>
          <w:sz w:val="22"/>
          <w:szCs w:val="22"/>
        </w:rPr>
        <w:t xml:space="preserve">or other </w:t>
      </w:r>
      <w:r w:rsidRPr="003975A0">
        <w:rPr>
          <w:rFonts w:ascii="Arial" w:hAnsi="Arial" w:cs="Arial"/>
          <w:sz w:val="22"/>
          <w:szCs w:val="22"/>
        </w:rPr>
        <w:t>functions within the modul</w:t>
      </w:r>
      <w:r>
        <w:rPr>
          <w:rFonts w:ascii="Arial" w:hAnsi="Arial" w:cs="Arial"/>
          <w:sz w:val="22"/>
          <w:szCs w:val="22"/>
        </w:rPr>
        <w:t>e.</w:t>
      </w:r>
      <w:r w:rsidRPr="003975A0">
        <w:rPr>
          <w:rFonts w:ascii="Arial" w:hAnsi="Arial" w:cs="Arial"/>
          <w:b/>
          <w:sz w:val="22"/>
          <w:szCs w:val="22"/>
        </w:rPr>
        <w:t xml:space="preserve">  </w:t>
      </w:r>
    </w:p>
    <w:p w:rsidR="00EE388D" w:rsidRPr="003975A0" w:rsidRDefault="00EE388D" w:rsidP="00EE388D">
      <w:pPr>
        <w:pStyle w:val="Bulle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919D2">
        <w:rPr>
          <w:rFonts w:ascii="Arial" w:hAnsi="Arial" w:cs="Arial"/>
          <w:b/>
          <w:sz w:val="22"/>
          <w:szCs w:val="22"/>
        </w:rPr>
        <w:t>Main Viewing Area</w:t>
      </w:r>
      <w:r>
        <w:rPr>
          <w:rFonts w:ascii="Arial" w:hAnsi="Arial" w:cs="Arial"/>
          <w:sz w:val="22"/>
          <w:szCs w:val="22"/>
        </w:rPr>
        <w:t>: this</w:t>
      </w:r>
      <w:r w:rsidRPr="003975A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Pr="003975A0">
        <w:rPr>
          <w:rFonts w:ascii="Arial" w:hAnsi="Arial" w:cs="Arial"/>
          <w:sz w:val="22"/>
          <w:szCs w:val="22"/>
        </w:rPr>
        <w:t>rea will contain text, graphics, animations, and interactions. Each page of the content displayed in the main viewing area will have a title stating the topic of the content</w:t>
      </w:r>
      <w:r w:rsidRPr="00036DEB">
        <w:rPr>
          <w:rFonts w:ascii="Arial" w:hAnsi="Arial" w:cs="Arial"/>
          <w:sz w:val="22"/>
          <w:szCs w:val="22"/>
        </w:rPr>
        <w:t xml:space="preserve">. Figure </w:t>
      </w:r>
      <w:r>
        <w:rPr>
          <w:rFonts w:ascii="Arial" w:hAnsi="Arial" w:cs="Arial"/>
          <w:sz w:val="22"/>
          <w:szCs w:val="22"/>
        </w:rPr>
        <w:t>1</w:t>
      </w:r>
      <w:r w:rsidRPr="00036DEB">
        <w:rPr>
          <w:rFonts w:ascii="Arial" w:hAnsi="Arial" w:cs="Arial"/>
          <w:sz w:val="22"/>
          <w:szCs w:val="22"/>
        </w:rPr>
        <w:t>.</w:t>
      </w:r>
      <w:r w:rsidRPr="003975A0">
        <w:rPr>
          <w:rFonts w:ascii="Arial" w:hAnsi="Arial" w:cs="Arial"/>
          <w:sz w:val="22"/>
          <w:szCs w:val="22"/>
        </w:rPr>
        <w:t>0 (below) provides an example of the main viewing area.</w:t>
      </w:r>
    </w:p>
    <w:p w:rsidR="00EE388D" w:rsidRPr="003975A0" w:rsidRDefault="00EE388D" w:rsidP="00EE388D">
      <w:pPr>
        <w:pStyle w:val="Bulle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1919D2">
        <w:rPr>
          <w:rFonts w:ascii="Arial" w:hAnsi="Arial" w:cs="Arial"/>
          <w:b/>
          <w:sz w:val="22"/>
          <w:szCs w:val="22"/>
        </w:rPr>
        <w:t>Table of Contents</w:t>
      </w:r>
      <w:r w:rsidRPr="008035A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</w:t>
      </w:r>
      <w:r w:rsidRPr="003975A0">
        <w:rPr>
          <w:rFonts w:ascii="Arial" w:hAnsi="Arial" w:cs="Arial"/>
          <w:sz w:val="22"/>
          <w:szCs w:val="22"/>
        </w:rPr>
        <w:t>he Table of Contents is generated by the Learning Management System</w:t>
      </w:r>
      <w:proofErr w:type="gramEnd"/>
      <w:r w:rsidRPr="003975A0">
        <w:rPr>
          <w:rFonts w:ascii="Arial" w:hAnsi="Arial" w:cs="Arial"/>
          <w:sz w:val="22"/>
          <w:szCs w:val="22"/>
        </w:rPr>
        <w:t xml:space="preserve"> (Atlas). The Module Branding Top Bar provides a “Hide Table of Contents” button that allows the student to close the table of contents to provide more space in the Main Viewing Area.</w:t>
      </w:r>
    </w:p>
    <w:p w:rsidR="00EE388D" w:rsidRDefault="00EE388D"/>
    <w:p w:rsidR="00EE388D" w:rsidRDefault="00EE388D"/>
    <w:p w:rsidR="00EE388D" w:rsidRDefault="00EE388D"/>
    <w:p w:rsidR="00EE388D" w:rsidRPr="0085718D" w:rsidRDefault="00EE388D" w:rsidP="00EE388D">
      <w:pPr>
        <w:rPr>
          <w:rFonts w:ascii="Arial" w:hAnsi="Arial" w:cs="Arial"/>
          <w:i/>
          <w:sz w:val="22"/>
          <w:szCs w:val="22"/>
          <w:u w:val="single"/>
        </w:rPr>
      </w:pPr>
      <w:r w:rsidRPr="0085718D">
        <w:rPr>
          <w:rFonts w:ascii="Arial" w:hAnsi="Arial" w:cs="Arial"/>
          <w:i/>
          <w:sz w:val="22"/>
          <w:szCs w:val="22"/>
          <w:u w:val="single"/>
        </w:rPr>
        <w:t xml:space="preserve">ALT </w:t>
      </w:r>
      <w:r>
        <w:rPr>
          <w:rFonts w:ascii="Arial" w:hAnsi="Arial" w:cs="Arial"/>
          <w:i/>
          <w:sz w:val="22"/>
          <w:szCs w:val="22"/>
          <w:u w:val="single"/>
        </w:rPr>
        <w:t xml:space="preserve">Tag </w:t>
      </w:r>
      <w:r w:rsidRPr="0085718D">
        <w:rPr>
          <w:rFonts w:ascii="Arial" w:hAnsi="Arial" w:cs="Arial"/>
          <w:i/>
          <w:sz w:val="22"/>
          <w:szCs w:val="22"/>
          <w:u w:val="single"/>
        </w:rPr>
        <w:t>Text Rules</w:t>
      </w:r>
    </w:p>
    <w:p w:rsidR="00EE388D" w:rsidRDefault="00EE388D" w:rsidP="00EE388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 tags are appropriate when a graphic can be described completely in fewer than 10 words.  Otherwise, a D-link must be available to the learner.  </w:t>
      </w:r>
    </w:p>
    <w:p w:rsidR="00EE388D" w:rsidRPr="00E928F0" w:rsidRDefault="00EE388D" w:rsidP="00EE388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 tags are not summaries or general descriptions that fail to convey the instructional meaning of a visual and should never be substituted for a D-link merely for expediency. </w:t>
      </w:r>
    </w:p>
    <w:p w:rsidR="00EE388D" w:rsidRPr="0085718D" w:rsidRDefault="00EE388D" w:rsidP="00EE388D">
      <w:pPr>
        <w:numPr>
          <w:ilvl w:val="0"/>
          <w:numId w:val="4"/>
        </w:numPr>
      </w:pPr>
      <w:r w:rsidRPr="00CC2669">
        <w:rPr>
          <w:rFonts w:ascii="Arial" w:hAnsi="Arial" w:cs="Arial"/>
          <w:sz w:val="22"/>
          <w:szCs w:val="22"/>
        </w:rPr>
        <w:t>Capitalize the first letter of the first word</w:t>
      </w:r>
      <w:r w:rsidRPr="003975A0">
        <w:rPr>
          <w:rFonts w:ascii="Arial" w:hAnsi="Arial" w:cs="Arial"/>
          <w:sz w:val="22"/>
          <w:szCs w:val="22"/>
        </w:rPr>
        <w:t xml:space="preserve"> only. </w:t>
      </w:r>
    </w:p>
    <w:p w:rsidR="00EE388D" w:rsidRPr="00E928F0" w:rsidRDefault="00EE388D" w:rsidP="00EE388D">
      <w:pPr>
        <w:numPr>
          <w:ilvl w:val="0"/>
          <w:numId w:val="4"/>
        </w:numPr>
      </w:pPr>
      <w:r w:rsidRPr="003975A0">
        <w:rPr>
          <w:rFonts w:ascii="Arial" w:hAnsi="Arial" w:cs="Arial"/>
          <w:sz w:val="22"/>
          <w:szCs w:val="22"/>
        </w:rPr>
        <w:t>Do not use quotations in the ALT text as quotation marks have a coding attribute in HTML that will affect what shows on the HTML page.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E388D" w:rsidRDefault="00EE388D" w:rsidP="00EE388D"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 xml:space="preserve">If for any reason an ALT tag value should be null, enter an empty character string consisting of double quotation marks, “”, so that a screen reader will ignore the ALT tag portion of the HTML.  </w:t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9F72D6" w:rsidRDefault="00EE388D" w:rsidP="00EE388D">
      <w:pPr>
        <w:rPr>
          <w:rFonts w:ascii="Arial" w:hAnsi="Arial" w:cs="Arial"/>
          <w:i/>
          <w:sz w:val="22"/>
          <w:szCs w:val="22"/>
          <w:u w:val="single"/>
        </w:rPr>
      </w:pPr>
      <w:r w:rsidRPr="009F72D6">
        <w:rPr>
          <w:rFonts w:ascii="Arial" w:hAnsi="Arial" w:cs="Arial"/>
          <w:i/>
          <w:sz w:val="22"/>
          <w:szCs w:val="22"/>
          <w:u w:val="single"/>
        </w:rPr>
        <w:t>D-Link Rules</w:t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Any visual that conveys learning content that is not otherwise described completely by on-screen text and cannot be adequately described by an ALT tag must be supported by a D-Link.  These types of visuals are often complex instructional elements such as data displays, process diagrams, graphs, charts, and tables.  </w:t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D-link is typically placed on the courseware screen just below the visual element.  It opens a pop-up window that must contain a thorough, complete description of the graphic containing all instructional details evidenced by the visual.  D-link descriptions are not overviews or summaries: they serve to provide the exact same information to a learner with visual impairments as the graphic provides to the unimpaired learner.  </w:t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A548EA" w:rsidP="00EE3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827.6pt;margin-top:4.15pt;width:462pt;height:63pt;z-index:251660288;mso-position-horizontal:right" fillcolor="#ff9">
            <v:fill opacity="58982f"/>
            <v:stroke dashstyle="1 1" endcap="round"/>
            <v:textbox>
              <w:txbxContent>
                <w:p w:rsidR="00470F17" w:rsidRPr="009F72D6" w:rsidRDefault="00470F17" w:rsidP="00EE388D">
                  <w:pPr>
                    <w:rPr>
                      <w:rStyle w:val="normal0"/>
                    </w:rPr>
                  </w:pPr>
                  <w:r w:rsidRPr="009F72D6">
                    <w:rPr>
                      <w:rStyle w:val="normal0"/>
                    </w:rPr>
                    <w:t xml:space="preserve">GUIDANCE: </w:t>
                  </w:r>
                  <w:r>
                    <w:rPr>
                      <w:rStyle w:val="normal0"/>
                    </w:rPr>
                    <w:t xml:space="preserve">Consider using HTML generated tables with appropriate row, column, and cell headers instead of image files for those instances in which the content is a data display or table.  Screen readers can vocalize the content of HTML tables, and developers are not required to program a D-link.  </w:t>
                  </w:r>
                </w:p>
              </w:txbxContent>
            </v:textbox>
          </v:shape>
        </w:pict>
      </w: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0A5B86" w:rsidRDefault="00EE388D" w:rsidP="00EE388D">
      <w:pPr>
        <w:pStyle w:val="Heading2"/>
      </w:pPr>
      <w:bookmarkStart w:id="56" w:name="_Toc128819398"/>
      <w:bookmarkStart w:id="57" w:name="_Toc128897525"/>
      <w:bookmarkStart w:id="58" w:name="_Toc129420635"/>
      <w:bookmarkStart w:id="59" w:name="_Toc212436391"/>
      <w:r w:rsidRPr="000A5B86">
        <w:rPr>
          <w:rStyle w:val="normal0"/>
          <w:color w:val="003366"/>
          <w:sz w:val="24"/>
        </w:rPr>
        <w:t>5.</w:t>
      </w:r>
      <w:r>
        <w:rPr>
          <w:rStyle w:val="normal0"/>
          <w:color w:val="003366"/>
          <w:sz w:val="24"/>
        </w:rPr>
        <w:t>6</w:t>
      </w:r>
      <w:r w:rsidRPr="000A5B86">
        <w:rPr>
          <w:rStyle w:val="normal0"/>
          <w:color w:val="003366"/>
          <w:sz w:val="24"/>
        </w:rPr>
        <w:t xml:space="preserve"> </w:t>
      </w:r>
      <w:r w:rsidRPr="000A5B86">
        <w:t>Colors and Fonts</w:t>
      </w:r>
      <w:bookmarkEnd w:id="56"/>
      <w:bookmarkEnd w:id="57"/>
      <w:bookmarkEnd w:id="58"/>
      <w:bookmarkEnd w:id="59"/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  <w:r w:rsidRPr="003975A0">
        <w:rPr>
          <w:rFonts w:ascii="Arial" w:hAnsi="Arial" w:cs="Arial"/>
          <w:sz w:val="22"/>
          <w:szCs w:val="22"/>
        </w:rPr>
        <w:t>The suggested base color</w:t>
      </w:r>
      <w:r>
        <w:rPr>
          <w:rFonts w:ascii="Arial" w:hAnsi="Arial" w:cs="Arial"/>
          <w:sz w:val="22"/>
          <w:szCs w:val="22"/>
        </w:rPr>
        <w:t>(s)</w:t>
      </w:r>
      <w:r w:rsidRPr="003975A0">
        <w:rPr>
          <w:rFonts w:ascii="Arial" w:hAnsi="Arial" w:cs="Arial"/>
          <w:sz w:val="22"/>
          <w:szCs w:val="22"/>
        </w:rPr>
        <w:t xml:space="preserve"> for all text is black.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 xml:space="preserve">This convention includes page titles and content text.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>The content text should be no smaller than 1</w:t>
      </w:r>
      <w:r>
        <w:rPr>
          <w:rFonts w:ascii="Arial" w:hAnsi="Arial" w:cs="Arial"/>
          <w:sz w:val="22"/>
          <w:szCs w:val="22"/>
        </w:rPr>
        <w:t>0</w:t>
      </w:r>
      <w:r w:rsidRPr="003975A0">
        <w:rPr>
          <w:rFonts w:ascii="Arial" w:hAnsi="Arial" w:cs="Arial"/>
          <w:sz w:val="22"/>
          <w:szCs w:val="22"/>
        </w:rPr>
        <w:t xml:space="preserve"> pt so that the learner can read it easily.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 xml:space="preserve">The size and type of font should not be changed on any single page for the same page element so that these elements remain consistent and ensure usability.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>If a different font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 xml:space="preserve">or size is desired for an element (such as module content or headers), then this change should be applicable to the entire module and not adversely </w:t>
      </w:r>
      <w:r>
        <w:rPr>
          <w:rFonts w:ascii="Arial" w:hAnsi="Arial" w:cs="Arial"/>
          <w:sz w:val="22"/>
          <w:szCs w:val="22"/>
        </w:rPr>
        <w:t>a</w:t>
      </w:r>
      <w:r w:rsidRPr="003975A0">
        <w:rPr>
          <w:rFonts w:ascii="Arial" w:hAnsi="Arial" w:cs="Arial"/>
          <w:sz w:val="22"/>
          <w:szCs w:val="22"/>
        </w:rPr>
        <w:t xml:space="preserve">ffect readability or usability. </w:t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  <w:r w:rsidRPr="003975A0">
        <w:rPr>
          <w:rFonts w:ascii="Arial" w:hAnsi="Arial" w:cs="Arial"/>
          <w:sz w:val="22"/>
          <w:szCs w:val="22"/>
        </w:rPr>
        <w:t>The background color, unless occupied by a background graphic, is white.</w:t>
      </w: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  <w:r w:rsidRPr="003975A0">
        <w:rPr>
          <w:rFonts w:ascii="Arial" w:hAnsi="Arial" w:cs="Arial"/>
          <w:sz w:val="22"/>
          <w:szCs w:val="22"/>
        </w:rPr>
        <w:t xml:space="preserve">Color changes of text may be used to indicate emphasis; however the emphasis must also be indicated in another way, such as </w:t>
      </w:r>
      <w:r>
        <w:rPr>
          <w:rFonts w:ascii="Arial" w:hAnsi="Arial" w:cs="Arial"/>
          <w:sz w:val="22"/>
          <w:szCs w:val="22"/>
        </w:rPr>
        <w:t xml:space="preserve">putting </w:t>
      </w:r>
      <w:r w:rsidRPr="003975A0">
        <w:rPr>
          <w:rFonts w:ascii="Arial" w:hAnsi="Arial" w:cs="Arial"/>
          <w:sz w:val="22"/>
          <w:szCs w:val="22"/>
        </w:rPr>
        <w:t>text</w:t>
      </w:r>
      <w:r>
        <w:rPr>
          <w:rFonts w:ascii="Arial" w:hAnsi="Arial" w:cs="Arial"/>
          <w:sz w:val="22"/>
          <w:szCs w:val="22"/>
        </w:rPr>
        <w:t xml:space="preserve"> in bold</w:t>
      </w:r>
      <w:r w:rsidRPr="003975A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(</w:t>
      </w:r>
      <w:r w:rsidRPr="003975A0">
        <w:rPr>
          <w:rFonts w:ascii="Arial" w:hAnsi="Arial" w:cs="Arial"/>
          <w:sz w:val="22"/>
          <w:szCs w:val="22"/>
        </w:rPr>
        <w:t>Bold text also triggers a screen reader to inform the student that this text is emphasized on the screen.</w:t>
      </w:r>
      <w:r>
        <w:rPr>
          <w:rFonts w:ascii="Arial" w:hAnsi="Arial" w:cs="Arial"/>
          <w:sz w:val="22"/>
          <w:szCs w:val="22"/>
        </w:rPr>
        <w:t>)</w:t>
      </w:r>
    </w:p>
    <w:p w:rsidR="00EE388D" w:rsidRPr="003975A0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Pr="003975A0" w:rsidRDefault="00EE388D" w:rsidP="00EE388D">
      <w:pPr>
        <w:pStyle w:val="Paragraph"/>
        <w:ind w:left="0"/>
        <w:rPr>
          <w:rFonts w:ascii="Arial" w:hAnsi="Arial" w:cs="Arial"/>
          <w:sz w:val="22"/>
          <w:szCs w:val="22"/>
        </w:rPr>
      </w:pPr>
      <w:r w:rsidRPr="003975A0">
        <w:rPr>
          <w:rFonts w:ascii="Arial" w:hAnsi="Arial" w:cs="Arial"/>
          <w:sz w:val="22"/>
          <w:szCs w:val="22"/>
        </w:rPr>
        <w:t xml:space="preserve">Table </w:t>
      </w:r>
      <w:r>
        <w:rPr>
          <w:rFonts w:ascii="Arial" w:hAnsi="Arial" w:cs="Arial"/>
          <w:sz w:val="22"/>
          <w:szCs w:val="22"/>
        </w:rPr>
        <w:t>5</w:t>
      </w:r>
      <w:r w:rsidRPr="003975A0">
        <w:rPr>
          <w:rFonts w:ascii="Arial" w:hAnsi="Arial" w:cs="Arial"/>
          <w:sz w:val="22"/>
          <w:szCs w:val="22"/>
        </w:rPr>
        <w:t xml:space="preserve">.0 defines the base styles suggested for all courseware.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 xml:space="preserve">Note that these are suggested colors and fonts. </w:t>
      </w:r>
      <w:r>
        <w:rPr>
          <w:rFonts w:ascii="Arial" w:hAnsi="Arial" w:cs="Arial"/>
          <w:sz w:val="22"/>
          <w:szCs w:val="22"/>
        </w:rPr>
        <w:t xml:space="preserve"> </w:t>
      </w:r>
      <w:r w:rsidRPr="003975A0">
        <w:rPr>
          <w:rFonts w:ascii="Arial" w:hAnsi="Arial" w:cs="Arial"/>
          <w:sz w:val="22"/>
          <w:szCs w:val="22"/>
        </w:rPr>
        <w:t xml:space="preserve">Changes may be made if the readability or usability of the courseware screens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 w:rsidRPr="003975A0">
        <w:rPr>
          <w:rFonts w:ascii="Arial" w:hAnsi="Arial" w:cs="Arial"/>
          <w:sz w:val="22"/>
          <w:szCs w:val="22"/>
        </w:rPr>
        <w:t xml:space="preserve"> not adversely affected.</w:t>
      </w:r>
      <w:r>
        <w:rPr>
          <w:rFonts w:ascii="Arial" w:hAnsi="Arial" w:cs="Arial"/>
          <w:sz w:val="22"/>
          <w:szCs w:val="22"/>
        </w:rPr>
        <w:t xml:space="preserve">  </w:t>
      </w:r>
    </w:p>
    <w:p w:rsidR="00EE388D" w:rsidRPr="003975A0" w:rsidRDefault="00EE388D" w:rsidP="00EE388D">
      <w:pPr>
        <w:pStyle w:val="Paragraph"/>
        <w:rPr>
          <w:rFonts w:ascii="Arial" w:hAnsi="Arial" w:cs="Arial"/>
          <w:sz w:val="22"/>
          <w:szCs w:val="22"/>
        </w:rPr>
      </w:pP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400"/>
        <w:gridCol w:w="720"/>
        <w:gridCol w:w="1200"/>
        <w:gridCol w:w="2280"/>
        <w:gridCol w:w="1320"/>
        <w:gridCol w:w="1320"/>
      </w:tblGrid>
      <w:tr w:rsidR="00EE388D" w:rsidRPr="003975A0"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Styles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Font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  <w:tc>
          <w:tcPr>
            <w:tcW w:w="2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Color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Alignment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3366"/>
          </w:tcPr>
          <w:p w:rsidR="00EE388D" w:rsidRPr="003975A0" w:rsidRDefault="00EE38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75A0">
              <w:rPr>
                <w:rFonts w:ascii="Arial" w:hAnsi="Arial" w:cs="Arial"/>
                <w:b/>
                <w:sz w:val="22"/>
                <w:szCs w:val="22"/>
              </w:rPr>
              <w:t>Attribute</w:t>
            </w:r>
          </w:p>
        </w:tc>
      </w:tr>
      <w:tr w:rsidR="00EE388D" w:rsidRPr="003975A0">
        <w:tc>
          <w:tcPr>
            <w:tcW w:w="924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EE388D" w:rsidRPr="009C11D5" w:rsidRDefault="00EE38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11D5">
              <w:rPr>
                <w:rFonts w:ascii="Arial" w:hAnsi="Arial" w:cs="Arial"/>
                <w:b/>
                <w:sz w:val="20"/>
                <w:szCs w:val="20"/>
              </w:rPr>
              <w:t>Module Content</w:t>
            </w:r>
          </w:p>
        </w:tc>
      </w:tr>
      <w:tr w:rsidR="00EE388D" w:rsidRPr="003975A0">
        <w:tc>
          <w:tcPr>
            <w:tcW w:w="24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10–12 pt</w:t>
            </w:r>
          </w:p>
        </w:tc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Navigation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10–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C11D5">
              <w:rPr>
                <w:rFonts w:ascii="Arial" w:hAnsi="Arial" w:cs="Arial"/>
                <w:sz w:val="20"/>
                <w:szCs w:val="20"/>
              </w:rPr>
              <w:t xml:space="preserve"> pt</w:t>
            </w:r>
          </w:p>
        </w:tc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bold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 xml:space="preserve">Main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C11D5">
              <w:rPr>
                <w:rFonts w:ascii="Arial" w:hAnsi="Arial" w:cs="Arial"/>
                <w:sz w:val="20"/>
                <w:szCs w:val="20"/>
              </w:rPr>
              <w:t>itle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14–18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bold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Subtitle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 w:rsidP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bold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>, italic</w:t>
            </w:r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Directions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bold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Popup</w:t>
            </w:r>
            <w:r>
              <w:rPr>
                <w:rFonts w:ascii="Arial" w:hAnsi="Arial" w:cs="Arial"/>
                <w:sz w:val="20"/>
                <w:szCs w:val="20"/>
              </w:rPr>
              <w:t xml:space="preserve"> Link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blue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(#000099)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underlined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Reference</w:t>
            </w:r>
            <w:r>
              <w:rPr>
                <w:rFonts w:ascii="Arial" w:hAnsi="Arial" w:cs="Arial"/>
                <w:sz w:val="20"/>
                <w:szCs w:val="20"/>
              </w:rPr>
              <w:t xml:space="preserve"> Link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blue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(#000099)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underlined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 xml:space="preserve">Glossary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9C11D5">
              <w:rPr>
                <w:rFonts w:ascii="Arial" w:hAnsi="Arial" w:cs="Arial"/>
                <w:sz w:val="20"/>
                <w:szCs w:val="20"/>
              </w:rPr>
              <w:t>tem</w:t>
            </w:r>
            <w:r>
              <w:rPr>
                <w:rFonts w:ascii="Arial" w:hAnsi="Arial" w:cs="Arial"/>
                <w:sz w:val="20"/>
                <w:szCs w:val="20"/>
              </w:rPr>
              <w:t xml:space="preserve"> Link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blue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(#000099)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underlined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Popup, reference, glossary rollover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light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blue (#0000ff)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underlined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dark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blue (#00008B)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underlined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Link on rollover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light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blue (#0000ff)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9C11D5">
              <w:rPr>
                <w:rFonts w:ascii="Arial" w:hAnsi="Arial" w:cs="Arial"/>
                <w:sz w:val="20"/>
                <w:szCs w:val="20"/>
              </w:rPr>
              <w:t>nderlined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or other secondary method for viewing</w:t>
            </w:r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Feedback text: correct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italic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 xml:space="preserve">Feedback text: </w:t>
            </w:r>
          </w:p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incorrect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italic</w:t>
            </w:r>
            <w:proofErr w:type="gramEnd"/>
          </w:p>
        </w:tc>
      </w:tr>
      <w:tr w:rsidR="00EE388D" w:rsidRPr="003975A0">
        <w:tc>
          <w:tcPr>
            <w:tcW w:w="24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Review/ </w:t>
            </w:r>
            <w:r w:rsidRPr="009C11D5">
              <w:rPr>
                <w:rFonts w:ascii="Arial" w:hAnsi="Arial" w:cs="Arial"/>
                <w:sz w:val="20"/>
                <w:szCs w:val="20"/>
              </w:rPr>
              <w:t xml:space="preserve">Practical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9C11D5">
              <w:rPr>
                <w:rFonts w:ascii="Arial" w:hAnsi="Arial" w:cs="Arial"/>
                <w:sz w:val="20"/>
                <w:szCs w:val="20"/>
              </w:rPr>
              <w:t>xercise:</w:t>
            </w:r>
          </w:p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C11D5">
              <w:rPr>
                <w:rFonts w:ascii="Arial" w:hAnsi="Arial" w:cs="Arial"/>
                <w:sz w:val="20"/>
                <w:szCs w:val="20"/>
              </w:rPr>
              <w:t>ain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header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 w:rsidRPr="009C11D5">
              <w:rPr>
                <w:rFonts w:ascii="Arial" w:hAnsi="Arial" w:cs="Arial"/>
                <w:sz w:val="20"/>
                <w:szCs w:val="20"/>
              </w:rPr>
              <w:t>Arial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C11D5">
              <w:rPr>
                <w:rFonts w:ascii="Arial" w:hAnsi="Arial" w:cs="Arial"/>
                <w:sz w:val="20"/>
                <w:szCs w:val="20"/>
              </w:rPr>
              <w:t>–12 pt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black</w:t>
            </w:r>
            <w:proofErr w:type="gramEnd"/>
            <w:r w:rsidRPr="009C11D5">
              <w:rPr>
                <w:rFonts w:ascii="Arial" w:hAnsi="Arial" w:cs="Arial"/>
                <w:sz w:val="20"/>
                <w:szCs w:val="20"/>
              </w:rPr>
              <w:t xml:space="preserve"> (#000000)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default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E388D" w:rsidRPr="009C11D5" w:rsidRDefault="00EE38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C11D5">
              <w:rPr>
                <w:rFonts w:ascii="Arial" w:hAnsi="Arial" w:cs="Arial"/>
                <w:sz w:val="20"/>
                <w:szCs w:val="20"/>
              </w:rPr>
              <w:t>bold</w:t>
            </w:r>
            <w:proofErr w:type="gramEnd"/>
          </w:p>
        </w:tc>
      </w:tr>
    </w:tbl>
    <w:p w:rsidR="00EE388D" w:rsidRPr="00036DEB" w:rsidRDefault="00EE388D" w:rsidP="00EE388D">
      <w:pPr>
        <w:pStyle w:val="TableofFigures"/>
        <w:rPr>
          <w:rFonts w:ascii="Arial" w:hAnsi="Arial" w:cs="Arial"/>
          <w:sz w:val="18"/>
          <w:szCs w:val="18"/>
        </w:rPr>
      </w:pPr>
      <w:bookmarkStart w:id="60" w:name="_Toc67111552"/>
      <w:r w:rsidRPr="00036DEB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</w:t>
      </w:r>
      <w:r w:rsidRPr="00036DEB">
        <w:rPr>
          <w:rFonts w:ascii="Arial" w:hAnsi="Arial" w:cs="Arial"/>
          <w:sz w:val="18"/>
          <w:szCs w:val="18"/>
        </w:rPr>
        <w:t>.0 - HTML Formatting Conventions</w:t>
      </w:r>
      <w:bookmarkEnd w:id="60"/>
    </w:p>
    <w:p w:rsidR="00EE388D" w:rsidRDefault="00EE388D" w:rsidP="00EE388D">
      <w:pPr>
        <w:pStyle w:val="Heading3"/>
        <w:ind w:left="720" w:hanging="720"/>
        <w:rPr>
          <w:rFonts w:cs="Arial"/>
          <w:szCs w:val="22"/>
        </w:rPr>
      </w:pPr>
    </w:p>
    <w:p w:rsidR="00EE388D" w:rsidRDefault="00A548EA" w:rsidP="00EE388D">
      <w:pPr>
        <w:pStyle w:val="Heading3"/>
        <w:ind w:left="720" w:hanging="720"/>
        <w:rPr>
          <w:rFonts w:cs="Arial"/>
          <w:szCs w:val="22"/>
        </w:rPr>
      </w:pPr>
      <w:bookmarkStart w:id="61" w:name="_Toc163635764"/>
      <w:bookmarkStart w:id="62" w:name="_Toc170626599"/>
      <w:bookmarkStart w:id="63" w:name="_Toc212436237"/>
      <w:bookmarkStart w:id="64" w:name="_Toc212436392"/>
      <w:r>
        <w:rPr>
          <w:rFonts w:cs="Arial"/>
          <w:noProof/>
          <w:szCs w:val="22"/>
        </w:rPr>
        <w:pict>
          <v:shape id="_x0000_s1027" type="#_x0000_t202" style="position:absolute;left:0;text-align:left;margin-left:0;margin-top:.4pt;width:468pt;height:45pt;z-index:251662336" fillcolor="#ff9">
            <v:fill opacity="58982f"/>
            <v:stroke dashstyle="1 1" endcap="round"/>
            <v:textbox>
              <w:txbxContent>
                <w:p w:rsidR="00470F17" w:rsidRPr="00DF16A4" w:rsidRDefault="00470F17" w:rsidP="00EE388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GUIDANCE:  Designers must be sensitive to color-blindness and other prevalent visual challenges when selecting fonts, colors, and styles for text.  Color alone should never be the sole indication of emphasis or meaning. </w:t>
                  </w:r>
                </w:p>
              </w:txbxContent>
            </v:textbox>
          </v:shape>
        </w:pict>
      </w:r>
      <w:bookmarkEnd w:id="61"/>
      <w:bookmarkEnd w:id="62"/>
      <w:bookmarkEnd w:id="63"/>
      <w:bookmarkEnd w:id="64"/>
    </w:p>
    <w:p w:rsidR="00EE388D" w:rsidRPr="003975A0" w:rsidRDefault="00EE388D" w:rsidP="00EE388D">
      <w:pPr>
        <w:pStyle w:val="Heading3"/>
        <w:ind w:left="720" w:hanging="720"/>
        <w:rPr>
          <w:rFonts w:cs="Arial"/>
          <w:szCs w:val="22"/>
        </w:rPr>
      </w:pPr>
    </w:p>
    <w:p w:rsidR="00EE388D" w:rsidRPr="00650EA7" w:rsidRDefault="00EE388D" w:rsidP="00EE388D">
      <w:pPr>
        <w:rPr>
          <w:bCs/>
          <w:iCs/>
        </w:rPr>
      </w:pPr>
    </w:p>
    <w:p w:rsidR="00EE388D" w:rsidRPr="00650EA7" w:rsidRDefault="00EE388D" w:rsidP="00EE388D">
      <w:pPr>
        <w:rPr>
          <w:bCs/>
          <w:iCs/>
        </w:rPr>
      </w:pPr>
      <w:r w:rsidRPr="00650EA7">
        <w:rPr>
          <w:bCs/>
          <w:iCs/>
        </w:rPr>
        <w:t>Written text for all audio (in the form of caption text) – but no comprehensive printable script</w:t>
      </w:r>
    </w:p>
    <w:p w:rsidR="00EE388D" w:rsidRPr="00650EA7" w:rsidRDefault="00EE388D" w:rsidP="00EE388D">
      <w:pPr>
        <w:rPr>
          <w:bCs/>
          <w:iCs/>
        </w:rPr>
      </w:pPr>
    </w:p>
    <w:p w:rsidR="00EE388D" w:rsidRPr="00650EA7" w:rsidRDefault="00EE388D" w:rsidP="00EE388D">
      <w:pPr>
        <w:rPr>
          <w:bCs/>
          <w:iCs/>
        </w:rPr>
      </w:pPr>
    </w:p>
    <w:p w:rsidR="00650EA7" w:rsidRPr="00650EA7" w:rsidRDefault="00650EA7" w:rsidP="00EE388D">
      <w:pPr>
        <w:rPr>
          <w:bCs/>
          <w:iCs/>
        </w:rPr>
      </w:pPr>
      <w:r w:rsidRPr="00650EA7">
        <w:rPr>
          <w:bCs/>
          <w:iCs/>
        </w:rPr>
        <w:t>Will someone on their end have JAWS or some other screen reader to test?</w:t>
      </w:r>
    </w:p>
    <w:p w:rsidR="00650EA7" w:rsidRDefault="00650EA7" w:rsidP="00EE388D">
      <w:pPr>
        <w:rPr>
          <w:bCs/>
          <w:iCs/>
        </w:rPr>
      </w:pPr>
    </w:p>
    <w:p w:rsidR="00650EA7" w:rsidRDefault="00650EA7" w:rsidP="00EE388D">
      <w:pPr>
        <w:rPr>
          <w:bCs/>
          <w:iCs/>
        </w:rPr>
      </w:pPr>
      <w:r>
        <w:rPr>
          <w:bCs/>
          <w:iCs/>
        </w:rPr>
        <w:t xml:space="preserve">Delivered in a SCORM 2004 </w:t>
      </w:r>
      <w:proofErr w:type="gramStart"/>
      <w:r>
        <w:rPr>
          <w:bCs/>
          <w:iCs/>
        </w:rPr>
        <w:t>package ?</w:t>
      </w:r>
      <w:proofErr w:type="gramEnd"/>
      <w:r>
        <w:rPr>
          <w:bCs/>
          <w:iCs/>
        </w:rPr>
        <w:t xml:space="preserve">????– </w:t>
      </w:r>
      <w:proofErr w:type="gramStart"/>
      <w:r>
        <w:rPr>
          <w:bCs/>
          <w:iCs/>
        </w:rPr>
        <w:t>though</w:t>
      </w:r>
      <w:proofErr w:type="gramEnd"/>
      <w:r>
        <w:rPr>
          <w:bCs/>
          <w:iCs/>
        </w:rPr>
        <w:t xml:space="preserve"> will not be communicating with an LMS so no resume functionality, no data capture</w:t>
      </w:r>
    </w:p>
    <w:p w:rsidR="00650EA7" w:rsidRDefault="00650EA7" w:rsidP="00EE388D">
      <w:pPr>
        <w:rPr>
          <w:bCs/>
          <w:iCs/>
        </w:rPr>
      </w:pPr>
    </w:p>
    <w:p w:rsidR="00EE388D" w:rsidRPr="00650EA7" w:rsidRDefault="00EE388D" w:rsidP="00EE388D">
      <w:pPr>
        <w:rPr>
          <w:bCs/>
          <w:iCs/>
        </w:rPr>
      </w:pPr>
    </w:p>
    <w:p w:rsidR="00EE388D" w:rsidRPr="00650EA7" w:rsidRDefault="00EE388D" w:rsidP="00EE388D">
      <w:pPr>
        <w:rPr>
          <w:bCs/>
          <w:iCs/>
        </w:rPr>
      </w:pPr>
    </w:p>
    <w:p w:rsidR="00EE388D" w:rsidRDefault="00EE388D" w:rsidP="00EE388D">
      <w:pPr>
        <w:rPr>
          <w:b/>
          <w:bCs/>
          <w:iCs/>
        </w:rPr>
      </w:pP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  <w:r>
        <w:rPr>
          <w:b/>
          <w:bCs/>
          <w:iCs/>
        </w:rPr>
        <w:br w:type="page"/>
      </w:r>
    </w:p>
    <w:p w:rsidR="00EE388D" w:rsidRDefault="00EE388D" w:rsidP="00EE388D">
      <w:pPr>
        <w:rPr>
          <w:rFonts w:ascii="Arial" w:hAnsi="Arial" w:cs="Arial"/>
          <w:sz w:val="22"/>
          <w:szCs w:val="22"/>
        </w:rPr>
      </w:pPr>
    </w:p>
    <w:p w:rsidR="00EE388D" w:rsidRDefault="00EE388D"/>
    <w:sectPr w:rsidR="00EE388D" w:rsidSect="00EE388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AE4"/>
    <w:multiLevelType w:val="hybridMultilevel"/>
    <w:tmpl w:val="A3FED22C"/>
    <w:lvl w:ilvl="0" w:tplc="3FDC6C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D401F"/>
    <w:multiLevelType w:val="hybridMultilevel"/>
    <w:tmpl w:val="4F88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870FDE"/>
    <w:multiLevelType w:val="hybridMultilevel"/>
    <w:tmpl w:val="B7AC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07BB3"/>
    <w:multiLevelType w:val="hybridMultilevel"/>
    <w:tmpl w:val="B308B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E6E23"/>
    <w:multiLevelType w:val="hybridMultilevel"/>
    <w:tmpl w:val="031201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E85BCA"/>
    <w:multiLevelType w:val="hybridMultilevel"/>
    <w:tmpl w:val="531812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E388D"/>
    <w:rsid w:val="00393AD9"/>
    <w:rsid w:val="00470F17"/>
    <w:rsid w:val="00650EA7"/>
    <w:rsid w:val="00A548EA"/>
    <w:rsid w:val="00C6299F"/>
    <w:rsid w:val="00EE388D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8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EE388D"/>
    <w:pPr>
      <w:outlineLvl w:val="2"/>
    </w:pPr>
    <w:rPr>
      <w:rFonts w:ascii="Arial" w:eastAsia="Arial Unicode MS" w:hAnsi="Arial" w:cs="Arial Unicode MS"/>
      <w:b/>
      <w:bCs/>
      <w:sz w:val="22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rsid w:val="00EE388D"/>
    <w:rPr>
      <w:rFonts w:ascii="Arial" w:eastAsia="Arial Unicode MS" w:hAnsi="Arial" w:cs="Arial Unicode MS"/>
      <w:b/>
      <w:bCs/>
      <w:sz w:val="22"/>
      <w:szCs w:val="27"/>
    </w:rPr>
  </w:style>
  <w:style w:type="character" w:customStyle="1" w:styleId="Normal1">
    <w:name w:val="Normal1"/>
    <w:rsid w:val="00EE388D"/>
    <w:rPr>
      <w:rFonts w:ascii="Arial" w:hAnsi="Arial"/>
      <w:color w:val="000000"/>
      <w:sz w:val="22"/>
      <w:u w:val="none"/>
    </w:rPr>
  </w:style>
  <w:style w:type="paragraph" w:customStyle="1" w:styleId="Bullet">
    <w:name w:val="Bullet"/>
    <w:basedOn w:val="Normal"/>
    <w:rsid w:val="00EE388D"/>
    <w:pPr>
      <w:numPr>
        <w:numId w:val="2"/>
      </w:numPr>
    </w:pPr>
  </w:style>
  <w:style w:type="paragraph" w:customStyle="1" w:styleId="SubBullets">
    <w:name w:val="SubBullets"/>
    <w:basedOn w:val="Normal"/>
    <w:rsid w:val="00EE388D"/>
  </w:style>
  <w:style w:type="paragraph" w:styleId="ListBullet">
    <w:name w:val="List Bullet"/>
    <w:basedOn w:val="Normal"/>
    <w:autoRedefine/>
    <w:rsid w:val="00EE388D"/>
    <w:pPr>
      <w:jc w:val="center"/>
    </w:pPr>
    <w:rPr>
      <w:rFonts w:ascii="Arial" w:hAnsi="Arial" w:cs="Arial"/>
      <w:sz w:val="22"/>
      <w:szCs w:val="22"/>
    </w:rPr>
  </w:style>
  <w:style w:type="character" w:customStyle="1" w:styleId="normal0">
    <w:name w:val="normal"/>
    <w:rsid w:val="00EE388D"/>
    <w:rPr>
      <w:rFonts w:ascii="Arial" w:hAnsi="Arial"/>
      <w:color w:val="000000"/>
      <w:sz w:val="2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ofFigures">
    <w:name w:val="table of figures"/>
    <w:aliases w:val="Figures"/>
    <w:basedOn w:val="Normal"/>
    <w:next w:val="Normal"/>
    <w:semiHidden/>
    <w:rsid w:val="00EE388D"/>
    <w:pPr>
      <w:jc w:val="center"/>
    </w:pPr>
    <w:rPr>
      <w:i/>
      <w:iCs/>
      <w:sz w:val="20"/>
    </w:rPr>
  </w:style>
  <w:style w:type="paragraph" w:customStyle="1" w:styleId="Paragraph">
    <w:name w:val="Paragraph"/>
    <w:basedOn w:val="Normal"/>
    <w:rsid w:val="00EE388D"/>
    <w:pPr>
      <w:ind w:left="720"/>
    </w:pPr>
  </w:style>
  <w:style w:type="paragraph" w:styleId="ListParagraph">
    <w:name w:val="List Paragraph"/>
    <w:basedOn w:val="Normal"/>
    <w:uiPriority w:val="34"/>
    <w:qFormat/>
    <w:rsid w:val="00470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1394</Words>
  <Characters>7948</Characters>
  <Application>Microsoft Macintosh Word</Application>
  <DocSecurity>0</DocSecurity>
  <Lines>66</Lines>
  <Paragraphs>15</Paragraphs>
  <ScaleCrop>false</ScaleCrop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cp:lastModifiedBy>Jerry Pharr</cp:lastModifiedBy>
  <cp:revision>2</cp:revision>
  <dcterms:created xsi:type="dcterms:W3CDTF">2011-09-21T19:15:00Z</dcterms:created>
  <dcterms:modified xsi:type="dcterms:W3CDTF">2011-09-22T20:18:00Z</dcterms:modified>
</cp:coreProperties>
</file>