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BE" w:rsidRPr="00EC5DCA" w:rsidRDefault="006372BE">
      <w:pPr>
        <w:rPr>
          <w:rFonts w:ascii="Arial" w:hAnsi="Arial" w:cs="Arial"/>
          <w:sz w:val="20"/>
          <w:szCs w:val="20"/>
        </w:rPr>
      </w:pPr>
    </w:p>
    <w:p w:rsidR="00EC5DCA" w:rsidRPr="00EC5DCA" w:rsidRDefault="00EC5DCA">
      <w:pPr>
        <w:rPr>
          <w:rFonts w:ascii="Arial" w:hAnsi="Arial" w:cs="Arial"/>
          <w:b/>
          <w:sz w:val="20"/>
          <w:szCs w:val="20"/>
        </w:rPr>
      </w:pPr>
      <w:r w:rsidRPr="00EC5DCA">
        <w:rPr>
          <w:rFonts w:ascii="Arial" w:hAnsi="Arial" w:cs="Arial"/>
          <w:b/>
          <w:sz w:val="20"/>
          <w:szCs w:val="20"/>
        </w:rPr>
        <w:t>CASE STUDY 3:  Developing Assessments</w:t>
      </w:r>
    </w:p>
    <w:p w:rsidR="00EC5DCA" w:rsidRPr="00EC5DCA" w:rsidRDefault="00EC5DCA">
      <w:pPr>
        <w:rPr>
          <w:rFonts w:ascii="Arial" w:hAnsi="Arial" w:cs="Arial"/>
          <w:sz w:val="20"/>
          <w:szCs w:val="20"/>
        </w:rPr>
      </w:pPr>
    </w:p>
    <w:p w:rsidR="00EC5DCA" w:rsidRDefault="00EC5DCA">
      <w:pPr>
        <w:rPr>
          <w:rFonts w:ascii="Arial" w:hAnsi="Arial" w:cs="Arial"/>
          <w:b/>
          <w:sz w:val="20"/>
          <w:szCs w:val="20"/>
        </w:rPr>
      </w:pPr>
      <w:r>
        <w:rPr>
          <w:rFonts w:ascii="Arial" w:hAnsi="Arial" w:cs="Arial"/>
          <w:b/>
          <w:sz w:val="20"/>
          <w:szCs w:val="20"/>
        </w:rPr>
        <w:t>Section 1:  Introduction</w:t>
      </w:r>
    </w:p>
    <w:p w:rsidR="00EC5DCA" w:rsidRDefault="00EC5DCA">
      <w:pPr>
        <w:rPr>
          <w:rFonts w:ascii="Arial" w:hAnsi="Arial" w:cs="Arial"/>
          <w:b/>
          <w:sz w:val="20"/>
          <w:szCs w:val="20"/>
        </w:rPr>
      </w:pPr>
    </w:p>
    <w:p w:rsidR="00EC5DCA" w:rsidRDefault="00EC5DCA">
      <w:pPr>
        <w:rPr>
          <w:rFonts w:ascii="Arial" w:hAnsi="Arial" w:cs="Arial"/>
          <w:sz w:val="20"/>
          <w:szCs w:val="20"/>
        </w:rPr>
      </w:pPr>
      <w:r>
        <w:rPr>
          <w:rFonts w:ascii="Arial" w:hAnsi="Arial" w:cs="Arial"/>
          <w:sz w:val="20"/>
          <w:szCs w:val="20"/>
        </w:rPr>
        <w:t>In the last case study, we examined the process for developing learning objectives and discriminated between terminal learning objectives (TLO) and enabling learning objectives (ELO).  We discussed how the development of objectives is a direct result of the analysis phase of the ADDIE Model.  Integral to the ADDIE process is the interlocking of phases; that is after the organizational learning goal has been established, everything after is informed by what came before it and is designed to support what came before it.  It is somewhat like building a house from the roof down.</w:t>
      </w:r>
    </w:p>
    <w:p w:rsidR="00117DCE" w:rsidRDefault="00117DCE">
      <w:pPr>
        <w:rPr>
          <w:rFonts w:ascii="Arial" w:hAnsi="Arial" w:cs="Arial"/>
          <w:sz w:val="20"/>
          <w:szCs w:val="20"/>
        </w:rPr>
      </w:pPr>
    </w:p>
    <w:p w:rsidR="002D3F27" w:rsidRDefault="00117DCE" w:rsidP="004E032A">
      <w:pPr>
        <w:rPr>
          <w:rFonts w:ascii="Arial" w:hAnsi="Arial" w:cs="Arial"/>
          <w:sz w:val="20"/>
          <w:szCs w:val="20"/>
        </w:rPr>
      </w:pPr>
      <w:r>
        <w:rPr>
          <w:rFonts w:ascii="Arial" w:hAnsi="Arial" w:cs="Arial"/>
          <w:sz w:val="20"/>
          <w:szCs w:val="20"/>
        </w:rPr>
        <w:t>Candace</w:t>
      </w:r>
      <w:r w:rsidR="00663BE3">
        <w:rPr>
          <w:rFonts w:ascii="Arial" w:hAnsi="Arial" w:cs="Arial"/>
          <w:sz w:val="20"/>
          <w:szCs w:val="20"/>
        </w:rPr>
        <w:t>, created objectives based on the findings of the task analy</w:t>
      </w:r>
      <w:r w:rsidR="002042E5">
        <w:rPr>
          <w:rFonts w:ascii="Arial" w:hAnsi="Arial" w:cs="Arial"/>
          <w:sz w:val="20"/>
          <w:szCs w:val="20"/>
        </w:rPr>
        <w:t>sis outcomes. During the task analysis, Victor identified</w:t>
      </w:r>
      <w:r w:rsidR="002D3F27">
        <w:rPr>
          <w:rFonts w:ascii="Arial" w:hAnsi="Arial" w:cs="Arial"/>
          <w:sz w:val="20"/>
          <w:szCs w:val="20"/>
        </w:rPr>
        <w:t xml:space="preserve"> desired performance competencies that would support the elimination of the observed performance gap</w:t>
      </w:r>
      <w:r w:rsidR="002042E5">
        <w:rPr>
          <w:rFonts w:ascii="Arial" w:hAnsi="Arial" w:cs="Arial"/>
          <w:sz w:val="20"/>
          <w:szCs w:val="20"/>
        </w:rPr>
        <w:t xml:space="preserve"> that was found in the needs analysis</w:t>
      </w:r>
      <w:r w:rsidR="002D3F27">
        <w:rPr>
          <w:rFonts w:ascii="Arial" w:hAnsi="Arial" w:cs="Arial"/>
          <w:sz w:val="20"/>
          <w:szCs w:val="20"/>
        </w:rPr>
        <w:t>:</w:t>
      </w:r>
    </w:p>
    <w:p w:rsidR="002D3F27" w:rsidRDefault="002D3F27">
      <w:pPr>
        <w:rPr>
          <w:rFonts w:ascii="Arial" w:hAnsi="Arial" w:cs="Arial"/>
          <w:sz w:val="20"/>
          <w:szCs w:val="20"/>
        </w:rPr>
      </w:pPr>
    </w:p>
    <w:p w:rsidR="002D3F27" w:rsidRPr="00586DAA" w:rsidRDefault="002D3F27" w:rsidP="002D3F27">
      <w:pPr>
        <w:pStyle w:val="Enspirebulletedtext"/>
        <w:numPr>
          <w:ilvl w:val="1"/>
          <w:numId w:val="2"/>
        </w:numPr>
        <w:rPr>
          <w:b/>
        </w:rPr>
      </w:pPr>
      <w:r>
        <w:rPr>
          <w:rFonts w:cs="Arial"/>
          <w:b/>
          <w:szCs w:val="20"/>
        </w:rPr>
        <w:t xml:space="preserve">Understand </w:t>
      </w:r>
      <w:r w:rsidRPr="00586DAA">
        <w:rPr>
          <w:b/>
        </w:rPr>
        <w:t>the policies pertaining to types of contracts that may be used in acquisition.</w:t>
      </w:r>
    </w:p>
    <w:p w:rsidR="002D3F27" w:rsidRPr="008C5E6B" w:rsidRDefault="002D3F27" w:rsidP="002D3F27">
      <w:pPr>
        <w:pStyle w:val="ListParagraph"/>
        <w:numPr>
          <w:ilvl w:val="0"/>
          <w:numId w:val="1"/>
        </w:numPr>
        <w:ind w:left="1440"/>
        <w:rPr>
          <w:rFonts w:ascii="Arial" w:hAnsi="Arial" w:cs="Arial"/>
          <w:b/>
          <w:sz w:val="20"/>
          <w:szCs w:val="20"/>
        </w:rPr>
      </w:pPr>
      <w:r>
        <w:rPr>
          <w:rFonts w:ascii="Arial" w:hAnsi="Arial" w:cs="Arial"/>
          <w:b/>
          <w:sz w:val="20"/>
          <w:szCs w:val="20"/>
        </w:rPr>
        <w:t>Understand the policies pertaining to selecting contract types.</w:t>
      </w:r>
    </w:p>
    <w:p w:rsidR="002D3F27" w:rsidRPr="008C5E6B" w:rsidRDefault="002D3F27" w:rsidP="002D3F27">
      <w:pPr>
        <w:pStyle w:val="Default"/>
        <w:ind w:left="675"/>
        <w:rPr>
          <w:b/>
          <w:color w:val="auto"/>
          <w:sz w:val="20"/>
          <w:szCs w:val="20"/>
        </w:rPr>
      </w:pPr>
    </w:p>
    <w:p w:rsidR="002D3F27" w:rsidRDefault="002D3F27" w:rsidP="002D3F27">
      <w:pPr>
        <w:pStyle w:val="Default"/>
        <w:numPr>
          <w:ilvl w:val="0"/>
          <w:numId w:val="1"/>
        </w:numPr>
        <w:ind w:left="1440"/>
        <w:rPr>
          <w:b/>
          <w:color w:val="auto"/>
          <w:sz w:val="20"/>
          <w:szCs w:val="20"/>
        </w:rPr>
      </w:pPr>
      <w:r>
        <w:rPr>
          <w:b/>
          <w:color w:val="auto"/>
          <w:sz w:val="20"/>
          <w:szCs w:val="20"/>
        </w:rPr>
        <w:t>Understand policies pertaining to fixed-price contracts</w:t>
      </w:r>
    </w:p>
    <w:p w:rsidR="002D3F27" w:rsidRPr="008C5E6B" w:rsidRDefault="002D3F27" w:rsidP="002D3F27">
      <w:pPr>
        <w:pStyle w:val="Default"/>
        <w:ind w:left="675"/>
        <w:rPr>
          <w:b/>
          <w:color w:val="auto"/>
          <w:sz w:val="20"/>
          <w:szCs w:val="20"/>
        </w:rPr>
      </w:pPr>
    </w:p>
    <w:p w:rsidR="002D3F27" w:rsidRDefault="002D3F27" w:rsidP="002D3F27">
      <w:pPr>
        <w:pStyle w:val="ListParagraph"/>
        <w:numPr>
          <w:ilvl w:val="0"/>
          <w:numId w:val="1"/>
        </w:numPr>
        <w:ind w:left="1440"/>
        <w:rPr>
          <w:rFonts w:ascii="Arial" w:hAnsi="Arial" w:cs="Arial"/>
          <w:b/>
          <w:sz w:val="20"/>
          <w:szCs w:val="20"/>
        </w:rPr>
      </w:pPr>
      <w:r>
        <w:rPr>
          <w:rFonts w:ascii="Arial" w:hAnsi="Arial" w:cs="Arial"/>
          <w:b/>
          <w:sz w:val="20"/>
          <w:szCs w:val="20"/>
        </w:rPr>
        <w:t>Understand policies pertaining to cost reimbursement contracts</w:t>
      </w:r>
    </w:p>
    <w:p w:rsidR="002D3F27" w:rsidRPr="00A6630A" w:rsidRDefault="002D3F27" w:rsidP="002D3F27">
      <w:pPr>
        <w:pStyle w:val="ListParagraph"/>
        <w:rPr>
          <w:rFonts w:ascii="Arial" w:hAnsi="Arial" w:cs="Arial"/>
          <w:b/>
          <w:sz w:val="20"/>
          <w:szCs w:val="20"/>
        </w:rPr>
      </w:pPr>
    </w:p>
    <w:p w:rsidR="002D3F27" w:rsidRPr="008C5E6B" w:rsidRDefault="002D3F27" w:rsidP="002D3F27">
      <w:pPr>
        <w:pStyle w:val="ListParagraph"/>
        <w:numPr>
          <w:ilvl w:val="0"/>
          <w:numId w:val="1"/>
        </w:numPr>
        <w:ind w:left="1440"/>
        <w:rPr>
          <w:rFonts w:ascii="Arial" w:hAnsi="Arial" w:cs="Arial"/>
          <w:b/>
          <w:sz w:val="20"/>
          <w:szCs w:val="20"/>
        </w:rPr>
      </w:pPr>
      <w:r>
        <w:rPr>
          <w:rFonts w:ascii="Arial" w:hAnsi="Arial" w:cs="Arial"/>
          <w:b/>
          <w:sz w:val="20"/>
          <w:szCs w:val="20"/>
        </w:rPr>
        <w:t xml:space="preserve">Understand procedures for selecting contract types </w:t>
      </w:r>
    </w:p>
    <w:p w:rsidR="002D3F27" w:rsidRDefault="002D3F27">
      <w:pPr>
        <w:rPr>
          <w:rFonts w:ascii="Arial" w:hAnsi="Arial" w:cs="Arial"/>
          <w:sz w:val="20"/>
          <w:szCs w:val="20"/>
        </w:rPr>
      </w:pPr>
    </w:p>
    <w:p w:rsidR="002042E5" w:rsidRPr="005B6BAA" w:rsidRDefault="002042E5" w:rsidP="004E032A">
      <w:pPr>
        <w:pStyle w:val="ListParagraph"/>
        <w:numPr>
          <w:ilvl w:val="0"/>
          <w:numId w:val="1"/>
        </w:numPr>
        <w:ind w:left="360"/>
        <w:rPr>
          <w:rFonts w:ascii="Arial" w:hAnsi="Arial" w:cs="Arial"/>
          <w:b/>
          <w:sz w:val="20"/>
          <w:szCs w:val="20"/>
        </w:rPr>
      </w:pPr>
      <w:r w:rsidRPr="005B6BAA">
        <w:rPr>
          <w:rFonts w:ascii="Arial" w:hAnsi="Arial" w:cs="Arial"/>
          <w:sz w:val="20"/>
          <w:szCs w:val="20"/>
        </w:rPr>
        <w:t xml:space="preserve">Lilly and Candace examined each of the desired performance outcomes that emanated from the task analysis to identify broad content that would support the desired performance outcomes.  Included in the identified broad content for the first desired performance </w:t>
      </w:r>
      <w:r w:rsidR="005B6BAA" w:rsidRPr="005B6BAA">
        <w:rPr>
          <w:rFonts w:ascii="Arial" w:hAnsi="Arial" w:cs="Arial"/>
          <w:sz w:val="20"/>
          <w:szCs w:val="20"/>
        </w:rPr>
        <w:t>competency [</w:t>
      </w:r>
      <w:r w:rsidRPr="005B6BAA">
        <w:rPr>
          <w:rFonts w:ascii="Arial" w:hAnsi="Arial" w:cs="Arial"/>
          <w:b/>
          <w:sz w:val="20"/>
          <w:szCs w:val="20"/>
        </w:rPr>
        <w:t>Understand the policies pertaining to types of contracts that may be used in acquisition.</w:t>
      </w:r>
      <w:r w:rsidRPr="005B6BAA">
        <w:rPr>
          <w:rFonts w:ascii="Arial" w:hAnsi="Arial" w:cs="Arial"/>
          <w:sz w:val="20"/>
          <w:szCs w:val="20"/>
        </w:rPr>
        <w:t>]</w:t>
      </w:r>
      <w:r w:rsidRPr="005B6BAA">
        <w:rPr>
          <w:rFonts w:ascii="Arial" w:hAnsi="Arial" w:cs="Arial"/>
          <w:b/>
          <w:sz w:val="20"/>
          <w:szCs w:val="20"/>
        </w:rPr>
        <w:t xml:space="preserve"> </w:t>
      </w:r>
      <w:r w:rsidRPr="005B6BAA">
        <w:rPr>
          <w:rFonts w:ascii="Arial" w:hAnsi="Arial" w:cs="Arial"/>
          <w:sz w:val="20"/>
          <w:szCs w:val="20"/>
        </w:rPr>
        <w:t>which supports the organization’s learning goal [</w:t>
      </w:r>
      <w:r w:rsidRPr="005B6BAA">
        <w:rPr>
          <w:rFonts w:ascii="Arial" w:hAnsi="Arial" w:cs="Arial"/>
          <w:b/>
          <w:sz w:val="20"/>
          <w:szCs w:val="20"/>
        </w:rPr>
        <w:t>Contract planning</w:t>
      </w:r>
      <w:r w:rsidR="005B6BAA">
        <w:rPr>
          <w:rFonts w:ascii="Arial" w:hAnsi="Arial" w:cs="Arial"/>
          <w:b/>
          <w:sz w:val="20"/>
          <w:szCs w:val="20"/>
        </w:rPr>
        <w:t>]</w:t>
      </w:r>
      <w:r w:rsidR="005B6BAA" w:rsidRPr="005B6BAA">
        <w:rPr>
          <w:rFonts w:ascii="Arial" w:hAnsi="Arial" w:cs="Arial"/>
          <w:sz w:val="20"/>
          <w:szCs w:val="20"/>
        </w:rPr>
        <w:t xml:space="preserve"> were the following:</w:t>
      </w:r>
    </w:p>
    <w:p w:rsidR="005B6BAA" w:rsidRPr="005B6BAA" w:rsidRDefault="005B6BAA" w:rsidP="005B6BAA">
      <w:pPr>
        <w:pStyle w:val="ListParagraph"/>
        <w:rPr>
          <w:rFonts w:ascii="Arial" w:hAnsi="Arial" w:cs="Arial"/>
          <w:b/>
          <w:sz w:val="20"/>
          <w:szCs w:val="20"/>
        </w:rPr>
      </w:pPr>
    </w:p>
    <w:p w:rsidR="005B6BAA" w:rsidRPr="008C46D9" w:rsidRDefault="005B6BAA" w:rsidP="005B6BAA">
      <w:pPr>
        <w:pStyle w:val="Enspirebulletedtext"/>
        <w:numPr>
          <w:ilvl w:val="0"/>
          <w:numId w:val="1"/>
        </w:numPr>
        <w:ind w:left="2520"/>
        <w:rPr>
          <w:rFonts w:cs="Arial"/>
          <w:szCs w:val="20"/>
        </w:rPr>
      </w:pPr>
      <w:r w:rsidRPr="008C46D9">
        <w:rPr>
          <w:rFonts w:cs="Arial"/>
          <w:b/>
          <w:szCs w:val="20"/>
        </w:rPr>
        <w:t xml:space="preserve">contracting policies </w:t>
      </w:r>
    </w:p>
    <w:p w:rsidR="005B6BAA" w:rsidRPr="008C46D9" w:rsidRDefault="005B6BAA" w:rsidP="005B6BAA">
      <w:pPr>
        <w:pStyle w:val="ListParagraph"/>
        <w:numPr>
          <w:ilvl w:val="0"/>
          <w:numId w:val="1"/>
        </w:numPr>
        <w:ind w:left="2520"/>
        <w:rPr>
          <w:rFonts w:ascii="Arial" w:hAnsi="Arial" w:cs="Arial"/>
          <w:b/>
          <w:bCs/>
          <w:sz w:val="20"/>
          <w:szCs w:val="20"/>
        </w:rPr>
      </w:pPr>
      <w:r w:rsidRPr="008C46D9">
        <w:rPr>
          <w:rFonts w:ascii="Arial" w:hAnsi="Arial" w:cs="Arial"/>
          <w:b/>
          <w:bCs/>
          <w:sz w:val="20"/>
          <w:szCs w:val="20"/>
        </w:rPr>
        <w:t xml:space="preserve">contracting and non-contracting methods for satisfying FAR requirements </w:t>
      </w:r>
      <w:r w:rsidRPr="008C46D9">
        <w:rPr>
          <w:rFonts w:ascii="Arial" w:hAnsi="Arial" w:cs="Arial"/>
          <w:b/>
          <w:sz w:val="20"/>
          <w:szCs w:val="20"/>
        </w:rPr>
        <w:t xml:space="preserve"> </w:t>
      </w:r>
    </w:p>
    <w:p w:rsidR="005B6BAA" w:rsidRPr="008C46D9" w:rsidRDefault="005B6BAA" w:rsidP="005B6BAA">
      <w:pPr>
        <w:pStyle w:val="ListParagraph"/>
        <w:ind w:left="5355"/>
        <w:rPr>
          <w:rFonts w:ascii="Arial" w:hAnsi="Arial" w:cs="Arial"/>
          <w:b/>
          <w:bCs/>
          <w:sz w:val="20"/>
          <w:szCs w:val="20"/>
        </w:rPr>
      </w:pPr>
    </w:p>
    <w:p w:rsidR="005B6BAA" w:rsidRPr="008C46D9" w:rsidRDefault="005B6BAA" w:rsidP="005B6BAA">
      <w:pPr>
        <w:pStyle w:val="Enspirebulletedtext"/>
        <w:numPr>
          <w:ilvl w:val="0"/>
          <w:numId w:val="1"/>
        </w:numPr>
        <w:ind w:left="2520"/>
        <w:rPr>
          <w:rFonts w:cs="Arial"/>
          <w:szCs w:val="20"/>
        </w:rPr>
      </w:pPr>
      <w:r w:rsidRPr="008C46D9">
        <w:rPr>
          <w:rFonts w:cs="Arial"/>
          <w:b/>
          <w:szCs w:val="20"/>
        </w:rPr>
        <w:t xml:space="preserve">acquisition methods and appropriate applications </w:t>
      </w:r>
    </w:p>
    <w:p w:rsidR="005B6BAA" w:rsidRPr="005B6BAA" w:rsidRDefault="005B6BAA" w:rsidP="005B6BAA">
      <w:pPr>
        <w:rPr>
          <w:rFonts w:ascii="Arial" w:hAnsi="Arial" w:cs="Arial"/>
          <w:b/>
          <w:sz w:val="20"/>
          <w:szCs w:val="20"/>
        </w:rPr>
      </w:pPr>
    </w:p>
    <w:p w:rsidR="00BD36D1" w:rsidRDefault="005B6BAA" w:rsidP="005B6BAA">
      <w:pPr>
        <w:pStyle w:val="Enspirebulletedtext"/>
        <w:numPr>
          <w:ilvl w:val="0"/>
          <w:numId w:val="19"/>
        </w:numPr>
      </w:pPr>
      <w:r>
        <w:t>From this list of broad content, Candace developed the following TOs:</w:t>
      </w:r>
    </w:p>
    <w:p w:rsidR="005B6BAA" w:rsidRDefault="005B6BAA" w:rsidP="005B6BAA">
      <w:pPr>
        <w:pStyle w:val="Enspirebulletedtext"/>
        <w:numPr>
          <w:ilvl w:val="1"/>
          <w:numId w:val="20"/>
        </w:numPr>
        <w:rPr>
          <w:b/>
          <w:szCs w:val="20"/>
        </w:rPr>
      </w:pPr>
      <w:r w:rsidRPr="00662578">
        <w:rPr>
          <w:b/>
          <w:szCs w:val="20"/>
        </w:rPr>
        <w:t xml:space="preserve">The learner will be able to </w:t>
      </w:r>
      <w:r>
        <w:rPr>
          <w:b/>
          <w:szCs w:val="20"/>
        </w:rPr>
        <w:t>explain</w:t>
      </w:r>
      <w:r w:rsidRPr="00662578">
        <w:rPr>
          <w:b/>
          <w:szCs w:val="20"/>
        </w:rPr>
        <w:t xml:space="preserve"> contracting policies that pertain to Federal Acquisition Regulations.</w:t>
      </w:r>
    </w:p>
    <w:p w:rsidR="005B6BAA" w:rsidRDefault="005B6BAA" w:rsidP="005B6BAA">
      <w:pPr>
        <w:pStyle w:val="Enspirebulletedtext"/>
        <w:ind w:left="1440"/>
        <w:rPr>
          <w:b/>
          <w:szCs w:val="20"/>
        </w:rPr>
      </w:pPr>
    </w:p>
    <w:p w:rsidR="005B6BAA" w:rsidRDefault="005B6BAA" w:rsidP="005B6BAA">
      <w:pPr>
        <w:pStyle w:val="Enspirebulletedtext"/>
        <w:numPr>
          <w:ilvl w:val="1"/>
          <w:numId w:val="20"/>
        </w:numPr>
        <w:rPr>
          <w:b/>
          <w:szCs w:val="20"/>
        </w:rPr>
      </w:pPr>
      <w:r>
        <w:rPr>
          <w:b/>
          <w:szCs w:val="20"/>
        </w:rPr>
        <w:t>The learner will be able to summarize methods that satisfy FAR requirements relative to contracting and non contracting methods.</w:t>
      </w:r>
    </w:p>
    <w:p w:rsidR="005B6BAA" w:rsidRDefault="005B6BAA" w:rsidP="005B6BAA">
      <w:pPr>
        <w:pStyle w:val="Enspirebulletedtext"/>
        <w:ind w:left="1440"/>
        <w:rPr>
          <w:b/>
          <w:szCs w:val="20"/>
        </w:rPr>
      </w:pPr>
    </w:p>
    <w:p w:rsidR="005B6BAA" w:rsidRDefault="005B6BAA" w:rsidP="005B6BAA">
      <w:pPr>
        <w:pStyle w:val="Enspirebulletedtext"/>
        <w:numPr>
          <w:ilvl w:val="1"/>
          <w:numId w:val="20"/>
        </w:numPr>
        <w:rPr>
          <w:b/>
          <w:szCs w:val="20"/>
        </w:rPr>
      </w:pPr>
      <w:r>
        <w:rPr>
          <w:b/>
          <w:szCs w:val="20"/>
        </w:rPr>
        <w:t>The learner will be able to complete a graphical representation off appropriate acquisition procedures including non-contraction alternatives.</w:t>
      </w:r>
    </w:p>
    <w:p w:rsidR="005B6BAA" w:rsidRDefault="005B6BAA" w:rsidP="005B6BAA">
      <w:pPr>
        <w:pStyle w:val="Enspirebulletedtext"/>
        <w:ind w:left="720"/>
      </w:pPr>
    </w:p>
    <w:p w:rsidR="00016C78" w:rsidRPr="005B6BAA" w:rsidRDefault="00BD36D1" w:rsidP="005B6BAA">
      <w:pPr>
        <w:pStyle w:val="ListParagraph"/>
        <w:numPr>
          <w:ilvl w:val="0"/>
          <w:numId w:val="19"/>
        </w:numPr>
        <w:rPr>
          <w:rFonts w:ascii="Arial" w:hAnsi="Arial" w:cs="Arial"/>
          <w:color w:val="C00000"/>
          <w:sz w:val="20"/>
          <w:szCs w:val="20"/>
        </w:rPr>
      </w:pPr>
      <w:r w:rsidRPr="005B6BAA">
        <w:rPr>
          <w:rFonts w:ascii="Arial" w:hAnsi="Arial" w:cs="Arial"/>
          <w:sz w:val="20"/>
          <w:szCs w:val="20"/>
        </w:rPr>
        <w:t xml:space="preserve">Victor and the FIPT validated the </w:t>
      </w:r>
      <w:r w:rsidR="00016C78" w:rsidRPr="005B6BAA">
        <w:rPr>
          <w:rFonts w:ascii="Arial" w:hAnsi="Arial" w:cs="Arial"/>
          <w:sz w:val="20"/>
          <w:szCs w:val="20"/>
        </w:rPr>
        <w:t>objectives and now Candace is ready to move on to the assessment piece in the design phase.</w:t>
      </w:r>
      <w:r w:rsidR="00155713" w:rsidRPr="005B6BAA">
        <w:rPr>
          <w:rFonts w:ascii="Arial" w:hAnsi="Arial" w:cs="Arial"/>
          <w:sz w:val="20"/>
          <w:szCs w:val="20"/>
        </w:rPr>
        <w:t xml:space="preserve">  </w:t>
      </w:r>
      <w:r w:rsidR="00155713" w:rsidRPr="005B6BAA">
        <w:rPr>
          <w:rFonts w:ascii="Arial" w:hAnsi="Arial" w:cs="Arial"/>
          <w:sz w:val="20"/>
          <w:szCs w:val="20"/>
          <w:highlight w:val="yellow"/>
        </w:rPr>
        <w:t>While Candace is working on the assessment phase, the FIPT is continuing to expand the content that will be included in the learning asset</w:t>
      </w:r>
      <w:r w:rsidR="00F4744D" w:rsidRPr="005B6BAA">
        <w:rPr>
          <w:rFonts w:ascii="Arial" w:hAnsi="Arial" w:cs="Arial"/>
          <w:sz w:val="20"/>
          <w:szCs w:val="20"/>
          <w:highlight w:val="yellow"/>
        </w:rPr>
        <w:t xml:space="preserve"> and develop </w:t>
      </w:r>
      <w:r w:rsidR="00F4744D" w:rsidRPr="005B6BAA">
        <w:rPr>
          <w:rFonts w:ascii="Arial" w:hAnsi="Arial" w:cs="Arial"/>
          <w:sz w:val="20"/>
          <w:szCs w:val="20"/>
          <w:highlight w:val="yellow"/>
        </w:rPr>
        <w:lastRenderedPageBreak/>
        <w:t>the enabling learning objectives</w:t>
      </w:r>
      <w:r w:rsidR="00155713" w:rsidRPr="005B6BAA">
        <w:rPr>
          <w:rFonts w:ascii="Arial" w:hAnsi="Arial" w:cs="Arial"/>
          <w:sz w:val="20"/>
          <w:szCs w:val="20"/>
          <w:highlight w:val="yellow"/>
        </w:rPr>
        <w:t>.</w:t>
      </w:r>
      <w:r w:rsidR="00155713" w:rsidRPr="005B6BAA">
        <w:rPr>
          <w:rFonts w:ascii="Arial" w:hAnsi="Arial" w:cs="Arial"/>
          <w:color w:val="C00000"/>
          <w:sz w:val="20"/>
          <w:szCs w:val="20"/>
        </w:rPr>
        <w:t xml:space="preserve"> Not sure if this goes here or in the last chapter…I’ve seen it done both ways, and I couldn’t find the documentation that gave me a clear answer</w:t>
      </w:r>
      <w:r w:rsidR="00155713" w:rsidRPr="00155713">
        <w:rPr>
          <w:color w:val="C00000"/>
        </w:rPr>
        <w:sym w:font="Wingdings" w:char="F04C"/>
      </w:r>
    </w:p>
    <w:p w:rsidR="00016C78" w:rsidRDefault="00016C78" w:rsidP="002D3F27">
      <w:pPr>
        <w:rPr>
          <w:rFonts w:ascii="Arial" w:hAnsi="Arial" w:cs="Arial"/>
          <w:sz w:val="20"/>
          <w:szCs w:val="20"/>
        </w:rPr>
      </w:pPr>
    </w:p>
    <w:p w:rsidR="00E06A9D" w:rsidRDefault="00016C78" w:rsidP="002D3F27">
      <w:pPr>
        <w:rPr>
          <w:rFonts w:ascii="Arial" w:hAnsi="Arial" w:cs="Arial"/>
          <w:sz w:val="20"/>
          <w:szCs w:val="20"/>
        </w:rPr>
      </w:pPr>
      <w:r>
        <w:rPr>
          <w:rFonts w:ascii="Arial" w:hAnsi="Arial" w:cs="Arial"/>
          <w:sz w:val="20"/>
          <w:szCs w:val="20"/>
        </w:rPr>
        <w:t xml:space="preserve">While logic would suggest that the next </w:t>
      </w:r>
      <w:r w:rsidR="00E06A9D">
        <w:rPr>
          <w:rFonts w:ascii="Arial" w:hAnsi="Arial" w:cs="Arial"/>
          <w:sz w:val="20"/>
          <w:szCs w:val="20"/>
        </w:rPr>
        <w:t>step</w:t>
      </w:r>
      <w:r>
        <w:rPr>
          <w:rFonts w:ascii="Arial" w:hAnsi="Arial" w:cs="Arial"/>
          <w:sz w:val="20"/>
          <w:szCs w:val="20"/>
        </w:rPr>
        <w:t xml:space="preserve"> would be to develop the content of the learning asset that supports t</w:t>
      </w:r>
      <w:r w:rsidR="00E06A9D">
        <w:rPr>
          <w:rFonts w:ascii="Arial" w:hAnsi="Arial" w:cs="Arial"/>
          <w:sz w:val="20"/>
          <w:szCs w:val="20"/>
        </w:rPr>
        <w:t>he terminal learning objectives, that isn’t the case.</w:t>
      </w:r>
      <w:r>
        <w:rPr>
          <w:rFonts w:ascii="Arial" w:hAnsi="Arial" w:cs="Arial"/>
          <w:sz w:val="20"/>
          <w:szCs w:val="20"/>
        </w:rPr>
        <w:t xml:space="preserve"> Why? Because a cardinal rule of instruction is that assessment drives instruction</w:t>
      </w:r>
      <w:r w:rsidR="00F51304">
        <w:rPr>
          <w:rFonts w:ascii="Arial" w:hAnsi="Arial" w:cs="Arial"/>
          <w:sz w:val="20"/>
          <w:szCs w:val="20"/>
        </w:rPr>
        <w:t>; you need to know where you are going from the start.</w:t>
      </w:r>
    </w:p>
    <w:p w:rsidR="00F51304" w:rsidRDefault="00F51304" w:rsidP="002D3F27">
      <w:pPr>
        <w:rPr>
          <w:rFonts w:ascii="Arial" w:hAnsi="Arial" w:cs="Arial"/>
          <w:sz w:val="20"/>
          <w:szCs w:val="20"/>
        </w:rPr>
      </w:pPr>
    </w:p>
    <w:p w:rsidR="00016C78" w:rsidRDefault="00105008" w:rsidP="002D3F27">
      <w:pPr>
        <w:rPr>
          <w:rFonts w:ascii="Arial" w:hAnsi="Arial" w:cs="Arial"/>
          <w:sz w:val="20"/>
          <w:szCs w:val="20"/>
        </w:rPr>
      </w:pPr>
      <w:r>
        <w:rPr>
          <w:rFonts w:ascii="Arial" w:hAnsi="Arial" w:cs="Arial"/>
          <w:sz w:val="20"/>
          <w:szCs w:val="20"/>
        </w:rPr>
        <w:t>A</w:t>
      </w:r>
      <w:r w:rsidR="00CC398D">
        <w:rPr>
          <w:rFonts w:ascii="Arial" w:hAnsi="Arial" w:cs="Arial"/>
          <w:sz w:val="20"/>
          <w:szCs w:val="20"/>
        </w:rPr>
        <w:t xml:space="preserve">ligning your assessments to your desired learning outcomes </w:t>
      </w:r>
      <w:r w:rsidR="00CC398D" w:rsidRPr="00F51304">
        <w:rPr>
          <w:rFonts w:ascii="Arial" w:hAnsi="Arial" w:cs="Arial"/>
          <w:b/>
          <w:sz w:val="20"/>
          <w:szCs w:val="20"/>
        </w:rPr>
        <w:t>before</w:t>
      </w:r>
      <w:r w:rsidR="00CC398D">
        <w:rPr>
          <w:rFonts w:ascii="Arial" w:hAnsi="Arial" w:cs="Arial"/>
          <w:sz w:val="20"/>
          <w:szCs w:val="20"/>
        </w:rPr>
        <w:t xml:space="preserve"> you develop your content </w:t>
      </w:r>
      <w:r w:rsidR="00F51304">
        <w:rPr>
          <w:rFonts w:ascii="Arial" w:hAnsi="Arial" w:cs="Arial"/>
          <w:sz w:val="20"/>
          <w:szCs w:val="20"/>
        </w:rPr>
        <w:t xml:space="preserve">allows you to build a framework of assessment that is focused on and intentionally developed to prepare the learner to achieve the desired performance competencies.  Content can then be worked into this framework in a manner that aligns with the terminal objectives of the learning asset. </w:t>
      </w:r>
    </w:p>
    <w:p w:rsidR="00F51304" w:rsidRDefault="00F51304" w:rsidP="002D3F27">
      <w:pPr>
        <w:rPr>
          <w:rFonts w:ascii="Arial" w:hAnsi="Arial" w:cs="Arial"/>
          <w:b/>
          <w:sz w:val="20"/>
          <w:szCs w:val="20"/>
        </w:rPr>
      </w:pPr>
    </w:p>
    <w:p w:rsidR="00016C78" w:rsidRDefault="00016C78" w:rsidP="002D3F27">
      <w:pPr>
        <w:rPr>
          <w:rFonts w:ascii="Arial" w:hAnsi="Arial" w:cs="Arial"/>
          <w:b/>
          <w:sz w:val="20"/>
          <w:szCs w:val="20"/>
        </w:rPr>
      </w:pPr>
      <w:r>
        <w:rPr>
          <w:rFonts w:ascii="Arial" w:hAnsi="Arial" w:cs="Arial"/>
          <w:b/>
          <w:sz w:val="20"/>
          <w:szCs w:val="20"/>
        </w:rPr>
        <w:t>Section 2:  THE CASE: Assessment</w:t>
      </w:r>
    </w:p>
    <w:p w:rsidR="00016C78" w:rsidRDefault="00016C78" w:rsidP="002D3F27">
      <w:pPr>
        <w:rPr>
          <w:rFonts w:ascii="Arial" w:hAnsi="Arial" w:cs="Arial"/>
          <w:b/>
          <w:sz w:val="20"/>
          <w:szCs w:val="20"/>
        </w:rPr>
      </w:pPr>
    </w:p>
    <w:p w:rsidR="00117DCE" w:rsidRDefault="00E06A9D" w:rsidP="00E06A9D">
      <w:pPr>
        <w:pStyle w:val="ListParagraph"/>
        <w:numPr>
          <w:ilvl w:val="0"/>
          <w:numId w:val="4"/>
        </w:numPr>
        <w:rPr>
          <w:rFonts w:ascii="Arial" w:hAnsi="Arial" w:cs="Arial"/>
          <w:sz w:val="20"/>
          <w:szCs w:val="20"/>
        </w:rPr>
      </w:pPr>
      <w:r>
        <w:rPr>
          <w:rFonts w:ascii="Arial" w:hAnsi="Arial" w:cs="Arial"/>
          <w:sz w:val="20"/>
          <w:szCs w:val="20"/>
        </w:rPr>
        <w:t>Candace</w:t>
      </w:r>
      <w:r w:rsidR="00440280">
        <w:rPr>
          <w:rFonts w:ascii="Arial" w:hAnsi="Arial" w:cs="Arial"/>
          <w:sz w:val="20"/>
          <w:szCs w:val="20"/>
        </w:rPr>
        <w:t xml:space="preserve"> as the ISD </w:t>
      </w:r>
      <w:proofErr w:type="gramStart"/>
      <w:r w:rsidR="00440280">
        <w:rPr>
          <w:rFonts w:ascii="Arial" w:hAnsi="Arial" w:cs="Arial"/>
          <w:sz w:val="20"/>
          <w:szCs w:val="20"/>
        </w:rPr>
        <w:t xml:space="preserve">lead </w:t>
      </w:r>
      <w:r>
        <w:rPr>
          <w:rFonts w:ascii="Arial" w:hAnsi="Arial" w:cs="Arial"/>
          <w:sz w:val="20"/>
          <w:szCs w:val="20"/>
        </w:rPr>
        <w:t xml:space="preserve"> works</w:t>
      </w:r>
      <w:proofErr w:type="gramEnd"/>
      <w:r>
        <w:rPr>
          <w:rFonts w:ascii="Arial" w:hAnsi="Arial" w:cs="Arial"/>
          <w:sz w:val="20"/>
          <w:szCs w:val="20"/>
        </w:rPr>
        <w:t xml:space="preserve"> with the </w:t>
      </w:r>
      <w:r w:rsidR="00440280">
        <w:rPr>
          <w:rFonts w:ascii="Arial" w:hAnsi="Arial" w:cs="Arial"/>
          <w:sz w:val="20"/>
          <w:szCs w:val="20"/>
        </w:rPr>
        <w:t>Victor who is the PLD</w:t>
      </w:r>
      <w:r w:rsidR="00DF280A">
        <w:rPr>
          <w:rFonts w:ascii="Arial" w:hAnsi="Arial" w:cs="Arial"/>
          <w:sz w:val="20"/>
          <w:szCs w:val="20"/>
        </w:rPr>
        <w:t xml:space="preserve"> and FIPT to determine the most efficient methods for adequately measuring learners’ mastery of the l</w:t>
      </w:r>
      <w:r w:rsidR="00440280">
        <w:rPr>
          <w:rFonts w:ascii="Arial" w:hAnsi="Arial" w:cs="Arial"/>
          <w:sz w:val="20"/>
          <w:szCs w:val="20"/>
        </w:rPr>
        <w:t>earning objectives they defined</w:t>
      </w:r>
      <w:r w:rsidR="00DF280A">
        <w:rPr>
          <w:rFonts w:ascii="Arial" w:hAnsi="Arial" w:cs="Arial"/>
          <w:sz w:val="20"/>
          <w:szCs w:val="20"/>
        </w:rPr>
        <w:t xml:space="preserve">  To do this they t</w:t>
      </w:r>
      <w:r w:rsidR="00E434AB">
        <w:rPr>
          <w:rFonts w:ascii="Arial" w:hAnsi="Arial" w:cs="Arial"/>
          <w:sz w:val="20"/>
          <w:szCs w:val="20"/>
        </w:rPr>
        <w:t>urn to the TLOs they developed earlier</w:t>
      </w:r>
      <w:r w:rsidR="00DF280A">
        <w:rPr>
          <w:rFonts w:ascii="Arial" w:hAnsi="Arial" w:cs="Arial"/>
          <w:sz w:val="20"/>
          <w:szCs w:val="20"/>
        </w:rPr>
        <w:t xml:space="preserve">. They will produce a general statement describing the methods that will be employed </w:t>
      </w:r>
      <w:r w:rsidR="00DF280A" w:rsidRPr="00DF280A">
        <w:rPr>
          <w:rFonts w:ascii="Arial" w:hAnsi="Arial" w:cs="Arial"/>
          <w:sz w:val="20"/>
          <w:szCs w:val="20"/>
        </w:rPr>
        <w:t>to assess learners’ performance within the learning asset, as well as how that performance will be measured.</w:t>
      </w:r>
    </w:p>
    <w:p w:rsidR="00DF280A" w:rsidRDefault="00DF280A" w:rsidP="00DF280A">
      <w:pPr>
        <w:rPr>
          <w:rFonts w:ascii="Arial" w:hAnsi="Arial" w:cs="Arial"/>
          <w:sz w:val="20"/>
          <w:szCs w:val="20"/>
        </w:rPr>
      </w:pPr>
    </w:p>
    <w:p w:rsidR="00440280" w:rsidRDefault="00E434AB" w:rsidP="0099318B">
      <w:pPr>
        <w:pStyle w:val="EnspireBodyText"/>
        <w:numPr>
          <w:ilvl w:val="0"/>
          <w:numId w:val="4"/>
        </w:numPr>
      </w:pPr>
      <w:r>
        <w:rPr>
          <w:szCs w:val="20"/>
        </w:rPr>
        <w:t>Candace and Victor</w:t>
      </w:r>
      <w:r w:rsidR="00440280">
        <w:rPr>
          <w:szCs w:val="20"/>
        </w:rPr>
        <w:t xml:space="preserve"> know</w:t>
      </w:r>
      <w:r w:rsidR="0099318B">
        <w:rPr>
          <w:szCs w:val="20"/>
        </w:rPr>
        <w:t xml:space="preserve"> that t</w:t>
      </w:r>
      <w:r w:rsidR="00DF280A">
        <w:rPr>
          <w:szCs w:val="20"/>
        </w:rPr>
        <w:t>he learning objectives for the learning asset will form the foundation for a</w:t>
      </w:r>
      <w:r w:rsidR="00964A47">
        <w:rPr>
          <w:szCs w:val="20"/>
        </w:rPr>
        <w:t>ssessment</w:t>
      </w:r>
      <w:r w:rsidR="00440280">
        <w:rPr>
          <w:szCs w:val="20"/>
        </w:rPr>
        <w:t>,</w:t>
      </w:r>
      <w:r w:rsidR="00964A47">
        <w:rPr>
          <w:szCs w:val="20"/>
        </w:rPr>
        <w:t xml:space="preserve"> and that l</w:t>
      </w:r>
      <w:r w:rsidR="00DF280A">
        <w:rPr>
          <w:szCs w:val="20"/>
        </w:rPr>
        <w:t>earning objectives and assessment</w:t>
      </w:r>
      <w:r w:rsidR="00440280">
        <w:rPr>
          <w:szCs w:val="20"/>
        </w:rPr>
        <w:t>s</w:t>
      </w:r>
      <w:r w:rsidR="00DF280A">
        <w:rPr>
          <w:szCs w:val="20"/>
        </w:rPr>
        <w:t xml:space="preserve"> must be completely aligned</w:t>
      </w:r>
      <w:r w:rsidR="0099318B">
        <w:rPr>
          <w:szCs w:val="20"/>
        </w:rPr>
        <w:t xml:space="preserve">. At this point they look at the TLOs they developed and refer to the </w:t>
      </w:r>
      <w:r w:rsidR="0099318B">
        <w:t>table that they highlighted, which reflects the alignment between the cognitive and knowledge dimensions for specific learning objectives.</w:t>
      </w:r>
    </w:p>
    <w:p w:rsidR="0099318B" w:rsidRDefault="0099318B" w:rsidP="00440280">
      <w:pPr>
        <w:pStyle w:val="EnspireBodyText"/>
      </w:pPr>
      <w:r>
        <w:t xml:space="preserve"> </w:t>
      </w:r>
    </w:p>
    <w:p w:rsidR="007967B4" w:rsidRDefault="007967B4" w:rsidP="007967B4">
      <w:pPr>
        <w:pStyle w:val="Enspirebulletedtext"/>
        <w:numPr>
          <w:ilvl w:val="1"/>
          <w:numId w:val="20"/>
        </w:numPr>
        <w:rPr>
          <w:b/>
          <w:szCs w:val="20"/>
        </w:rPr>
      </w:pPr>
      <w:r w:rsidRPr="00662578">
        <w:rPr>
          <w:b/>
          <w:szCs w:val="20"/>
        </w:rPr>
        <w:t xml:space="preserve">The learner will be able to </w:t>
      </w:r>
      <w:r>
        <w:rPr>
          <w:b/>
          <w:szCs w:val="20"/>
        </w:rPr>
        <w:t>explain</w:t>
      </w:r>
      <w:r w:rsidRPr="00662578">
        <w:rPr>
          <w:b/>
          <w:szCs w:val="20"/>
        </w:rPr>
        <w:t xml:space="preserve"> contracting policies that pertain to Federal Acquisition Regulations.</w:t>
      </w:r>
    </w:p>
    <w:p w:rsidR="007967B4" w:rsidRDefault="007967B4" w:rsidP="007967B4">
      <w:pPr>
        <w:pStyle w:val="Enspirebulletedtext"/>
        <w:ind w:left="1440"/>
        <w:rPr>
          <w:b/>
          <w:szCs w:val="20"/>
        </w:rPr>
      </w:pPr>
    </w:p>
    <w:p w:rsidR="007967B4" w:rsidRDefault="007967B4" w:rsidP="007967B4">
      <w:pPr>
        <w:pStyle w:val="Enspirebulletedtext"/>
        <w:numPr>
          <w:ilvl w:val="1"/>
          <w:numId w:val="20"/>
        </w:numPr>
        <w:rPr>
          <w:b/>
          <w:szCs w:val="20"/>
        </w:rPr>
      </w:pPr>
      <w:r>
        <w:rPr>
          <w:b/>
          <w:szCs w:val="20"/>
        </w:rPr>
        <w:t>The learner will be able to summarize methods that satisfy FAR requirements relative to contracting and non contracting methods.</w:t>
      </w:r>
    </w:p>
    <w:p w:rsidR="007967B4" w:rsidRDefault="007967B4" w:rsidP="007967B4">
      <w:pPr>
        <w:pStyle w:val="Enspirebulletedtext"/>
        <w:ind w:left="1440"/>
        <w:rPr>
          <w:b/>
          <w:szCs w:val="20"/>
        </w:rPr>
      </w:pPr>
    </w:p>
    <w:p w:rsidR="007967B4" w:rsidRDefault="007967B4" w:rsidP="007967B4">
      <w:pPr>
        <w:pStyle w:val="Enspirebulletedtext"/>
        <w:numPr>
          <w:ilvl w:val="1"/>
          <w:numId w:val="20"/>
        </w:numPr>
        <w:rPr>
          <w:b/>
          <w:szCs w:val="20"/>
        </w:rPr>
      </w:pPr>
      <w:r>
        <w:rPr>
          <w:b/>
          <w:szCs w:val="20"/>
        </w:rPr>
        <w:t>The learner will be able to complete a graphical representation off appropriate acquisition procedures including non-contraction alternatives.</w:t>
      </w:r>
    </w:p>
    <w:p w:rsidR="0099318B" w:rsidRDefault="0099318B" w:rsidP="00964A47">
      <w:pPr>
        <w:pStyle w:val="ListParagraph"/>
      </w:pPr>
    </w:p>
    <w:p w:rsidR="0099318B" w:rsidRDefault="0099318B" w:rsidP="0099318B">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99318B" w:rsidRPr="006D5D46" w:rsidTr="00CC398D">
        <w:trPr>
          <w:trHeight w:val="288"/>
        </w:trPr>
        <w:tc>
          <w:tcPr>
            <w:tcW w:w="1450" w:type="dxa"/>
          </w:tcPr>
          <w:p w:rsidR="0099318B" w:rsidRDefault="0099318B" w:rsidP="00CC398D">
            <w:pPr>
              <w:pStyle w:val="Enspirebulletedtext"/>
              <w:rPr>
                <w:b/>
              </w:rPr>
            </w:pPr>
            <w:r>
              <w:rPr>
                <w:b/>
              </w:rPr>
              <w:t>Knowledge Dimension</w:t>
            </w:r>
          </w:p>
        </w:tc>
        <w:tc>
          <w:tcPr>
            <w:tcW w:w="7085" w:type="dxa"/>
            <w:gridSpan w:val="6"/>
          </w:tcPr>
          <w:p w:rsidR="0099318B" w:rsidRPr="006D5D46" w:rsidRDefault="0099318B" w:rsidP="00CC398D">
            <w:pPr>
              <w:pStyle w:val="Enspirebulletedtext"/>
              <w:jc w:val="center"/>
              <w:rPr>
                <w:b/>
              </w:rPr>
            </w:pPr>
            <w:r>
              <w:rPr>
                <w:b/>
              </w:rPr>
              <w:t>Cognitive Process Dimension</w:t>
            </w:r>
          </w:p>
        </w:tc>
      </w:tr>
      <w:tr w:rsidR="0099318B" w:rsidRPr="006D5D46" w:rsidTr="00CC398D">
        <w:trPr>
          <w:trHeight w:val="288"/>
        </w:trPr>
        <w:tc>
          <w:tcPr>
            <w:tcW w:w="1450" w:type="dxa"/>
            <w:shd w:val="clear" w:color="auto" w:fill="606060"/>
          </w:tcPr>
          <w:p w:rsidR="0099318B" w:rsidRPr="006D5D46" w:rsidRDefault="0099318B" w:rsidP="00CC398D">
            <w:pPr>
              <w:pStyle w:val="Enspirebulletedtext"/>
            </w:pPr>
          </w:p>
        </w:tc>
        <w:tc>
          <w:tcPr>
            <w:tcW w:w="1206" w:type="dxa"/>
          </w:tcPr>
          <w:p w:rsidR="0099318B" w:rsidRPr="006D5D46" w:rsidRDefault="0099318B" w:rsidP="00CC398D">
            <w:pPr>
              <w:pStyle w:val="Enspirebulletedtext"/>
              <w:jc w:val="center"/>
              <w:rPr>
                <w:i/>
              </w:rPr>
            </w:pPr>
            <w:r w:rsidRPr="006D5D46">
              <w:rPr>
                <w:i/>
              </w:rPr>
              <w:t>Remember</w:t>
            </w:r>
          </w:p>
        </w:tc>
        <w:tc>
          <w:tcPr>
            <w:tcW w:w="1250" w:type="dxa"/>
          </w:tcPr>
          <w:p w:rsidR="0099318B" w:rsidRPr="006D5D46" w:rsidRDefault="0099318B" w:rsidP="00CC398D">
            <w:pPr>
              <w:pStyle w:val="Enspirebulletedtext"/>
              <w:jc w:val="center"/>
              <w:rPr>
                <w:i/>
              </w:rPr>
            </w:pPr>
            <w:r w:rsidRPr="00964115">
              <w:rPr>
                <w:i/>
                <w:highlight w:val="yellow"/>
              </w:rPr>
              <w:t>Understand</w:t>
            </w:r>
          </w:p>
        </w:tc>
        <w:tc>
          <w:tcPr>
            <w:tcW w:w="1157" w:type="dxa"/>
          </w:tcPr>
          <w:p w:rsidR="0099318B" w:rsidRPr="006D5D46" w:rsidRDefault="0099318B" w:rsidP="00CC398D">
            <w:pPr>
              <w:pStyle w:val="Enspirebulletedtext"/>
              <w:jc w:val="center"/>
              <w:rPr>
                <w:i/>
              </w:rPr>
            </w:pPr>
            <w:r w:rsidRPr="006D5D46">
              <w:rPr>
                <w:i/>
              </w:rPr>
              <w:t>Apply</w:t>
            </w:r>
          </w:p>
        </w:tc>
        <w:tc>
          <w:tcPr>
            <w:tcW w:w="1157" w:type="dxa"/>
          </w:tcPr>
          <w:p w:rsidR="0099318B" w:rsidRPr="006D5D46" w:rsidRDefault="0099318B" w:rsidP="00CC398D">
            <w:pPr>
              <w:pStyle w:val="Enspirebulletedtext"/>
              <w:jc w:val="center"/>
              <w:rPr>
                <w:i/>
              </w:rPr>
            </w:pPr>
            <w:r w:rsidRPr="006D5D46">
              <w:rPr>
                <w:i/>
              </w:rPr>
              <w:t>Analyze</w:t>
            </w:r>
          </w:p>
        </w:tc>
        <w:tc>
          <w:tcPr>
            <w:tcW w:w="1157" w:type="dxa"/>
          </w:tcPr>
          <w:p w:rsidR="0099318B" w:rsidRPr="006D5D46" w:rsidRDefault="0099318B" w:rsidP="00CC398D">
            <w:pPr>
              <w:pStyle w:val="Enspirebulletedtext"/>
              <w:jc w:val="center"/>
              <w:rPr>
                <w:i/>
              </w:rPr>
            </w:pPr>
            <w:r w:rsidRPr="006D5D46">
              <w:rPr>
                <w:i/>
              </w:rPr>
              <w:t>Evaluate</w:t>
            </w:r>
          </w:p>
        </w:tc>
        <w:tc>
          <w:tcPr>
            <w:tcW w:w="1158" w:type="dxa"/>
          </w:tcPr>
          <w:p w:rsidR="0099318B" w:rsidRPr="006D5D46" w:rsidRDefault="0099318B" w:rsidP="00CC398D">
            <w:pPr>
              <w:pStyle w:val="Enspirebulletedtext"/>
              <w:jc w:val="center"/>
              <w:rPr>
                <w:i/>
              </w:rPr>
            </w:pPr>
            <w:r w:rsidRPr="006D5D46">
              <w:rPr>
                <w:i/>
              </w:rPr>
              <w:t>Create</w:t>
            </w:r>
          </w:p>
        </w:tc>
      </w:tr>
      <w:tr w:rsidR="0099318B" w:rsidTr="00CC398D">
        <w:trPr>
          <w:trHeight w:val="288"/>
        </w:trPr>
        <w:tc>
          <w:tcPr>
            <w:tcW w:w="1450" w:type="dxa"/>
          </w:tcPr>
          <w:p w:rsidR="0099318B" w:rsidRPr="006D5D46" w:rsidRDefault="0099318B" w:rsidP="00CC398D">
            <w:pPr>
              <w:pStyle w:val="Enspirebulletedtext"/>
              <w:rPr>
                <w:i/>
              </w:rPr>
            </w:pPr>
            <w:r w:rsidRPr="006D5D46">
              <w:rPr>
                <w:i/>
              </w:rPr>
              <w:t>Factual Knowledge</w:t>
            </w:r>
          </w:p>
        </w:tc>
        <w:tc>
          <w:tcPr>
            <w:tcW w:w="1206" w:type="dxa"/>
          </w:tcPr>
          <w:p w:rsidR="0099318B" w:rsidRDefault="0099318B" w:rsidP="00CC398D">
            <w:pPr>
              <w:pStyle w:val="Enspirebulletedtext"/>
            </w:pPr>
            <w:r>
              <w:t>A1</w:t>
            </w:r>
          </w:p>
        </w:tc>
        <w:tc>
          <w:tcPr>
            <w:tcW w:w="1250" w:type="dxa"/>
          </w:tcPr>
          <w:p w:rsidR="0099318B" w:rsidRDefault="0099318B" w:rsidP="00CC398D">
            <w:pPr>
              <w:pStyle w:val="Enspirebulletedtext"/>
            </w:pPr>
            <w:r>
              <w:t>A2</w:t>
            </w:r>
          </w:p>
        </w:tc>
        <w:tc>
          <w:tcPr>
            <w:tcW w:w="1157" w:type="dxa"/>
          </w:tcPr>
          <w:p w:rsidR="0099318B" w:rsidRDefault="0099318B" w:rsidP="00CC398D">
            <w:pPr>
              <w:pStyle w:val="Enspirebulletedtext"/>
            </w:pPr>
            <w:r>
              <w:t>A3</w:t>
            </w:r>
          </w:p>
        </w:tc>
        <w:tc>
          <w:tcPr>
            <w:tcW w:w="1157" w:type="dxa"/>
          </w:tcPr>
          <w:p w:rsidR="0099318B" w:rsidRDefault="0099318B" w:rsidP="00CC398D">
            <w:pPr>
              <w:pStyle w:val="Enspirebulletedtext"/>
            </w:pPr>
            <w:r>
              <w:t>A4</w:t>
            </w:r>
          </w:p>
        </w:tc>
        <w:tc>
          <w:tcPr>
            <w:tcW w:w="1157" w:type="dxa"/>
          </w:tcPr>
          <w:p w:rsidR="0099318B" w:rsidRDefault="0099318B" w:rsidP="00CC398D">
            <w:pPr>
              <w:pStyle w:val="Enspirebulletedtext"/>
            </w:pPr>
            <w:r>
              <w:t>A5</w:t>
            </w:r>
          </w:p>
        </w:tc>
        <w:tc>
          <w:tcPr>
            <w:tcW w:w="1158" w:type="dxa"/>
          </w:tcPr>
          <w:p w:rsidR="0099318B" w:rsidRDefault="0099318B" w:rsidP="00CC398D">
            <w:pPr>
              <w:pStyle w:val="Enspirebulletedtext"/>
            </w:pPr>
            <w:r>
              <w:t>A6</w:t>
            </w:r>
          </w:p>
        </w:tc>
      </w:tr>
      <w:tr w:rsidR="0099318B" w:rsidTr="00CC398D">
        <w:trPr>
          <w:trHeight w:val="288"/>
        </w:trPr>
        <w:tc>
          <w:tcPr>
            <w:tcW w:w="1450" w:type="dxa"/>
          </w:tcPr>
          <w:p w:rsidR="0099318B" w:rsidRPr="006D5D46" w:rsidRDefault="0099318B" w:rsidP="00CC398D">
            <w:pPr>
              <w:pStyle w:val="Enspirebulletedtext"/>
              <w:rPr>
                <w:i/>
              </w:rPr>
            </w:pPr>
            <w:r w:rsidRPr="006D5D46">
              <w:rPr>
                <w:i/>
              </w:rPr>
              <w:t>Conceptual Knowledge</w:t>
            </w:r>
          </w:p>
        </w:tc>
        <w:tc>
          <w:tcPr>
            <w:tcW w:w="1206" w:type="dxa"/>
          </w:tcPr>
          <w:p w:rsidR="0099318B" w:rsidRDefault="0099318B" w:rsidP="00CC398D">
            <w:pPr>
              <w:pStyle w:val="Enspirebulletedtext"/>
            </w:pPr>
            <w:r>
              <w:t>B1</w:t>
            </w:r>
          </w:p>
        </w:tc>
        <w:tc>
          <w:tcPr>
            <w:tcW w:w="1250" w:type="dxa"/>
          </w:tcPr>
          <w:p w:rsidR="0099318B" w:rsidRDefault="0099318B" w:rsidP="00CC398D">
            <w:pPr>
              <w:pStyle w:val="Enspirebulletedtext"/>
            </w:pPr>
            <w:r w:rsidRPr="00964115">
              <w:rPr>
                <w:highlight w:val="yellow"/>
              </w:rPr>
              <w:t>B2</w:t>
            </w:r>
          </w:p>
        </w:tc>
        <w:tc>
          <w:tcPr>
            <w:tcW w:w="1157" w:type="dxa"/>
          </w:tcPr>
          <w:p w:rsidR="0099318B" w:rsidRDefault="0099318B" w:rsidP="00CC398D">
            <w:pPr>
              <w:pStyle w:val="Enspirebulletedtext"/>
            </w:pPr>
            <w:r>
              <w:t>B3</w:t>
            </w:r>
          </w:p>
        </w:tc>
        <w:tc>
          <w:tcPr>
            <w:tcW w:w="1157" w:type="dxa"/>
          </w:tcPr>
          <w:p w:rsidR="0099318B" w:rsidRDefault="0099318B" w:rsidP="00CC398D">
            <w:pPr>
              <w:pStyle w:val="Enspirebulletedtext"/>
            </w:pPr>
            <w:r>
              <w:t>B4</w:t>
            </w:r>
          </w:p>
        </w:tc>
        <w:tc>
          <w:tcPr>
            <w:tcW w:w="1157" w:type="dxa"/>
          </w:tcPr>
          <w:p w:rsidR="0099318B" w:rsidRDefault="0099318B" w:rsidP="00CC398D">
            <w:pPr>
              <w:pStyle w:val="Enspirebulletedtext"/>
            </w:pPr>
            <w:r>
              <w:t>B5</w:t>
            </w:r>
          </w:p>
        </w:tc>
        <w:tc>
          <w:tcPr>
            <w:tcW w:w="1158" w:type="dxa"/>
          </w:tcPr>
          <w:p w:rsidR="0099318B" w:rsidRDefault="0099318B" w:rsidP="00CC398D">
            <w:pPr>
              <w:pStyle w:val="Enspirebulletedtext"/>
            </w:pPr>
            <w:r>
              <w:t>B6</w:t>
            </w:r>
          </w:p>
        </w:tc>
      </w:tr>
      <w:tr w:rsidR="0099318B" w:rsidTr="00CC398D">
        <w:trPr>
          <w:trHeight w:val="288"/>
        </w:trPr>
        <w:tc>
          <w:tcPr>
            <w:tcW w:w="1450" w:type="dxa"/>
          </w:tcPr>
          <w:p w:rsidR="0099318B" w:rsidRPr="006D5D46" w:rsidRDefault="0099318B" w:rsidP="00CC398D">
            <w:pPr>
              <w:pStyle w:val="Enspirebulletedtext"/>
              <w:rPr>
                <w:i/>
              </w:rPr>
            </w:pPr>
            <w:r w:rsidRPr="006D5D46">
              <w:rPr>
                <w:i/>
              </w:rPr>
              <w:t>Procedural Knowledge</w:t>
            </w:r>
          </w:p>
        </w:tc>
        <w:tc>
          <w:tcPr>
            <w:tcW w:w="1206" w:type="dxa"/>
          </w:tcPr>
          <w:p w:rsidR="0099318B" w:rsidRDefault="0099318B" w:rsidP="00CC398D">
            <w:pPr>
              <w:pStyle w:val="Enspirebulletedtext"/>
            </w:pPr>
            <w:r>
              <w:t>C1</w:t>
            </w:r>
          </w:p>
        </w:tc>
        <w:tc>
          <w:tcPr>
            <w:tcW w:w="1250" w:type="dxa"/>
          </w:tcPr>
          <w:p w:rsidR="0099318B" w:rsidRDefault="0099318B" w:rsidP="00CC398D">
            <w:pPr>
              <w:pStyle w:val="Enspirebulletedtext"/>
            </w:pPr>
            <w:r w:rsidRPr="00964115">
              <w:rPr>
                <w:highlight w:val="yellow"/>
              </w:rPr>
              <w:t>C2</w:t>
            </w:r>
          </w:p>
        </w:tc>
        <w:tc>
          <w:tcPr>
            <w:tcW w:w="1157" w:type="dxa"/>
          </w:tcPr>
          <w:p w:rsidR="0099318B" w:rsidRDefault="0099318B" w:rsidP="00CC398D">
            <w:pPr>
              <w:pStyle w:val="Enspirebulletedtext"/>
            </w:pPr>
            <w:r>
              <w:t>C3</w:t>
            </w:r>
          </w:p>
        </w:tc>
        <w:tc>
          <w:tcPr>
            <w:tcW w:w="1157" w:type="dxa"/>
          </w:tcPr>
          <w:p w:rsidR="0099318B" w:rsidRDefault="0099318B" w:rsidP="00CC398D">
            <w:pPr>
              <w:pStyle w:val="Enspirebulletedtext"/>
            </w:pPr>
            <w:r>
              <w:t>C4</w:t>
            </w:r>
          </w:p>
        </w:tc>
        <w:tc>
          <w:tcPr>
            <w:tcW w:w="1157" w:type="dxa"/>
          </w:tcPr>
          <w:p w:rsidR="0099318B" w:rsidRDefault="0099318B" w:rsidP="00CC398D">
            <w:pPr>
              <w:pStyle w:val="Enspirebulletedtext"/>
            </w:pPr>
            <w:r>
              <w:t>C5</w:t>
            </w:r>
          </w:p>
        </w:tc>
        <w:tc>
          <w:tcPr>
            <w:tcW w:w="1158" w:type="dxa"/>
          </w:tcPr>
          <w:p w:rsidR="0099318B" w:rsidRDefault="0099318B" w:rsidP="00CC398D">
            <w:pPr>
              <w:pStyle w:val="Enspirebulletedtext"/>
            </w:pPr>
            <w:r>
              <w:t>C6</w:t>
            </w:r>
          </w:p>
        </w:tc>
      </w:tr>
      <w:tr w:rsidR="0099318B" w:rsidTr="00CC398D">
        <w:trPr>
          <w:trHeight w:val="288"/>
        </w:trPr>
        <w:tc>
          <w:tcPr>
            <w:tcW w:w="1450" w:type="dxa"/>
          </w:tcPr>
          <w:p w:rsidR="0099318B" w:rsidRPr="006D5D46" w:rsidRDefault="0099318B" w:rsidP="00CC398D">
            <w:pPr>
              <w:pStyle w:val="Enspirebulletedtext"/>
              <w:rPr>
                <w:i/>
              </w:rPr>
            </w:pPr>
            <w:proofErr w:type="spellStart"/>
            <w:r w:rsidRPr="006D5D46">
              <w:rPr>
                <w:i/>
              </w:rPr>
              <w:t>Metacognitive</w:t>
            </w:r>
            <w:proofErr w:type="spellEnd"/>
            <w:r w:rsidRPr="006D5D46">
              <w:rPr>
                <w:i/>
              </w:rPr>
              <w:t xml:space="preserve"> Knowledge</w:t>
            </w:r>
          </w:p>
        </w:tc>
        <w:tc>
          <w:tcPr>
            <w:tcW w:w="1206" w:type="dxa"/>
          </w:tcPr>
          <w:p w:rsidR="0099318B" w:rsidRDefault="0099318B" w:rsidP="00CC398D">
            <w:pPr>
              <w:pStyle w:val="Enspirebulletedtext"/>
            </w:pPr>
            <w:r>
              <w:t>D1</w:t>
            </w:r>
          </w:p>
        </w:tc>
        <w:tc>
          <w:tcPr>
            <w:tcW w:w="1250" w:type="dxa"/>
          </w:tcPr>
          <w:p w:rsidR="0099318B" w:rsidRDefault="0099318B" w:rsidP="00CC398D">
            <w:pPr>
              <w:pStyle w:val="Enspirebulletedtext"/>
            </w:pPr>
            <w:r>
              <w:t>D2</w:t>
            </w:r>
          </w:p>
        </w:tc>
        <w:tc>
          <w:tcPr>
            <w:tcW w:w="1157" w:type="dxa"/>
          </w:tcPr>
          <w:p w:rsidR="0099318B" w:rsidRDefault="0099318B" w:rsidP="00CC398D">
            <w:pPr>
              <w:pStyle w:val="Enspirebulletedtext"/>
            </w:pPr>
            <w:r>
              <w:t>D3</w:t>
            </w:r>
          </w:p>
        </w:tc>
        <w:tc>
          <w:tcPr>
            <w:tcW w:w="1157" w:type="dxa"/>
          </w:tcPr>
          <w:p w:rsidR="0099318B" w:rsidRDefault="0099318B" w:rsidP="00CC398D">
            <w:pPr>
              <w:pStyle w:val="Enspirebulletedtext"/>
            </w:pPr>
            <w:r>
              <w:t>D4</w:t>
            </w:r>
          </w:p>
        </w:tc>
        <w:tc>
          <w:tcPr>
            <w:tcW w:w="1157" w:type="dxa"/>
          </w:tcPr>
          <w:p w:rsidR="0099318B" w:rsidRDefault="0099318B" w:rsidP="00CC398D">
            <w:pPr>
              <w:pStyle w:val="Enspirebulletedtext"/>
            </w:pPr>
            <w:r>
              <w:t>D5</w:t>
            </w:r>
          </w:p>
        </w:tc>
        <w:tc>
          <w:tcPr>
            <w:tcW w:w="1158" w:type="dxa"/>
          </w:tcPr>
          <w:p w:rsidR="0099318B" w:rsidRDefault="0099318B" w:rsidP="00CC398D">
            <w:pPr>
              <w:pStyle w:val="Enspirebulletedtext"/>
            </w:pPr>
            <w:r>
              <w:t>D6</w:t>
            </w:r>
          </w:p>
        </w:tc>
      </w:tr>
    </w:tbl>
    <w:p w:rsidR="00DF280A" w:rsidRDefault="00DF280A" w:rsidP="0099318B">
      <w:pPr>
        <w:pStyle w:val="ListParagraph"/>
        <w:rPr>
          <w:rFonts w:ascii="Arial" w:hAnsi="Arial" w:cs="Arial"/>
          <w:sz w:val="20"/>
          <w:szCs w:val="20"/>
        </w:rPr>
      </w:pPr>
    </w:p>
    <w:p w:rsidR="00964A47" w:rsidRDefault="00964A47" w:rsidP="0099318B">
      <w:pPr>
        <w:pStyle w:val="ListParagraph"/>
        <w:rPr>
          <w:rFonts w:ascii="Arial" w:hAnsi="Arial" w:cs="Arial"/>
          <w:sz w:val="20"/>
          <w:szCs w:val="20"/>
        </w:rPr>
      </w:pPr>
    </w:p>
    <w:p w:rsidR="00964A47" w:rsidRDefault="00964A47" w:rsidP="00964A47">
      <w:pPr>
        <w:pStyle w:val="EnspireBodyText"/>
      </w:pPr>
      <w:r>
        <w:lastRenderedPageBreak/>
        <w:t xml:space="preserve">This table helps them get a good sense of the specific types of performance that will be expected of learners in demonstrating mastery of all or part of a learning asset. This understanding </w:t>
      </w:r>
      <w:r w:rsidR="002D3958">
        <w:t xml:space="preserve">provides insight that will help them develop </w:t>
      </w:r>
      <w:r>
        <w:t xml:space="preserve">assessment strategies appropriate for the learning asset.  </w:t>
      </w:r>
    </w:p>
    <w:p w:rsidR="002D3958" w:rsidRDefault="002D3958" w:rsidP="00964A47">
      <w:pPr>
        <w:pStyle w:val="EnspireBodyText"/>
      </w:pPr>
    </w:p>
    <w:p w:rsidR="002D3958" w:rsidRDefault="007F0693" w:rsidP="002D3958">
      <w:pPr>
        <w:pStyle w:val="EnspireBodyText"/>
        <w:numPr>
          <w:ilvl w:val="0"/>
          <w:numId w:val="10"/>
        </w:numPr>
      </w:pPr>
      <w:r>
        <w:t xml:space="preserve">Candace now reviews </w:t>
      </w:r>
      <w:r w:rsidR="00440280">
        <w:t xml:space="preserve">five </w:t>
      </w:r>
      <w:r>
        <w:t xml:space="preserve"> things </w:t>
      </w:r>
      <w:r w:rsidR="00440280">
        <w:t xml:space="preserve">they </w:t>
      </w:r>
      <w:r>
        <w:t>must consider before selecting an assessment strategy:</w:t>
      </w:r>
    </w:p>
    <w:p w:rsidR="007F0693" w:rsidRDefault="007F0693" w:rsidP="007F0693">
      <w:pPr>
        <w:pStyle w:val="Enspirebulletedtext"/>
        <w:numPr>
          <w:ilvl w:val="1"/>
          <w:numId w:val="11"/>
        </w:numPr>
      </w:pPr>
      <w:r>
        <w:t xml:space="preserve">The cognitive dimensions and knowledge dimensions of the respective objectives covered by all or part of a learning asset </w:t>
      </w:r>
    </w:p>
    <w:p w:rsidR="007F0693" w:rsidRDefault="007F0693" w:rsidP="007F0693">
      <w:pPr>
        <w:pStyle w:val="Enspirebulletedtext"/>
        <w:numPr>
          <w:ilvl w:val="1"/>
          <w:numId w:val="11"/>
        </w:numPr>
      </w:pPr>
      <w:r>
        <w:t>The various assessment method categories</w:t>
      </w:r>
    </w:p>
    <w:p w:rsidR="007F0693" w:rsidRDefault="007F0693" w:rsidP="007F0693">
      <w:pPr>
        <w:pStyle w:val="Enspirebulletedtext"/>
        <w:numPr>
          <w:ilvl w:val="1"/>
          <w:numId w:val="11"/>
        </w:numPr>
      </w:pPr>
      <w:r>
        <w:t xml:space="preserve">The most effective and efficient method for assessing the knowledge and thinking involved in performing a learning objective </w:t>
      </w:r>
    </w:p>
    <w:p w:rsidR="007F0693" w:rsidRDefault="007F0693" w:rsidP="007F0693">
      <w:pPr>
        <w:pStyle w:val="Enspirebulletedtext"/>
        <w:numPr>
          <w:ilvl w:val="1"/>
          <w:numId w:val="11"/>
        </w:numPr>
      </w:pPr>
      <w:r>
        <w:t xml:space="preserve">Logistical and resource constraints that assessment methods must conform to </w:t>
      </w:r>
    </w:p>
    <w:p w:rsidR="007F0693" w:rsidRPr="0058090A" w:rsidRDefault="007F0693" w:rsidP="007F0693">
      <w:pPr>
        <w:pStyle w:val="Enspirebulletedtext"/>
        <w:numPr>
          <w:ilvl w:val="1"/>
          <w:numId w:val="11"/>
        </w:numPr>
      </w:pPr>
      <w:r>
        <w:t xml:space="preserve">The ability of the methods selected to fully assess all of the objectives defined for a learning asset </w:t>
      </w:r>
    </w:p>
    <w:p w:rsidR="007F0693" w:rsidRDefault="007F0693" w:rsidP="007F0693">
      <w:pPr>
        <w:pStyle w:val="EnspireBodyText"/>
      </w:pPr>
    </w:p>
    <w:p w:rsidR="00964A47" w:rsidRDefault="0061673F" w:rsidP="00964A47">
      <w:pPr>
        <w:pStyle w:val="Enspirebulletedtext"/>
        <w:numPr>
          <w:ilvl w:val="0"/>
          <w:numId w:val="10"/>
        </w:numPr>
      </w:pPr>
      <w:r>
        <w:t xml:space="preserve">Given that the cognitive </w:t>
      </w:r>
      <w:r w:rsidR="00DD17BE">
        <w:t xml:space="preserve">dimensions of the </w:t>
      </w:r>
      <w:r>
        <w:t xml:space="preserve">objectives are at the lower level of Bloom’s taxonomy falling into the Understanding level, and </w:t>
      </w:r>
      <w:r w:rsidR="00DD17BE">
        <w:t xml:space="preserve">that the objectives </w:t>
      </w:r>
      <w:r>
        <w:t>address conceptual and procedural knowledge, Candace</w:t>
      </w:r>
      <w:r w:rsidR="00DD17BE">
        <w:t xml:space="preserve"> and Victor agree that</w:t>
      </w:r>
      <w:r>
        <w:t xml:space="preserve"> the types of assessment that would best match the TLOs are objective written</w:t>
      </w:r>
      <w:r w:rsidR="007806D2">
        <w:t xml:space="preserve"> items or </w:t>
      </w:r>
      <w:r>
        <w:t>subjective written items</w:t>
      </w:r>
      <w:r w:rsidR="007806D2">
        <w:t>.</w:t>
      </w:r>
      <w:r>
        <w:t xml:space="preserve"> </w:t>
      </w:r>
      <w:r w:rsidR="00DD17BE">
        <w:t>They</w:t>
      </w:r>
      <w:r>
        <w:t xml:space="preserve"> disregarded </w:t>
      </w:r>
      <w:r w:rsidR="007806D2">
        <w:t xml:space="preserve">the idea of using simple case studies based on resource constraints; and disregarded practical exercises and simulations </w:t>
      </w:r>
      <w:r w:rsidR="00440280">
        <w:t>based on logistic constraints.</w:t>
      </w:r>
    </w:p>
    <w:p w:rsidR="00440280" w:rsidRDefault="00440280" w:rsidP="00440280">
      <w:pPr>
        <w:pStyle w:val="Enspirebulletedtext"/>
        <w:numPr>
          <w:ilvl w:val="0"/>
          <w:numId w:val="10"/>
        </w:numPr>
      </w:pPr>
      <w:r>
        <w:t>The next step is writing the assessment strategy</w:t>
      </w:r>
      <w:r w:rsidR="00DD17BE">
        <w:t xml:space="preserve">.  Victor reminds Candace of that </w:t>
      </w:r>
      <w:r>
        <w:t>DAU assessment strategies must include:</w:t>
      </w:r>
    </w:p>
    <w:p w:rsidR="00440280" w:rsidRDefault="00440280" w:rsidP="00440280">
      <w:pPr>
        <w:pStyle w:val="Enspirebulletedtext"/>
        <w:numPr>
          <w:ilvl w:val="0"/>
          <w:numId w:val="12"/>
        </w:numPr>
      </w:pPr>
      <w:r>
        <w:t xml:space="preserve">Identification of all the methods of assessment for a learning asset </w:t>
      </w:r>
    </w:p>
    <w:p w:rsidR="00440280" w:rsidRDefault="00440280" w:rsidP="00440280">
      <w:pPr>
        <w:pStyle w:val="Enspirebulletedtext"/>
        <w:numPr>
          <w:ilvl w:val="0"/>
          <w:numId w:val="12"/>
        </w:numPr>
      </w:pPr>
      <w:r>
        <w:t xml:space="preserve">A brief description of each of the specific methods of assessment </w:t>
      </w:r>
    </w:p>
    <w:p w:rsidR="00440280" w:rsidRDefault="00440280" w:rsidP="00440280">
      <w:pPr>
        <w:pStyle w:val="Enspirebulletedtext"/>
        <w:numPr>
          <w:ilvl w:val="0"/>
          <w:numId w:val="12"/>
        </w:numPr>
      </w:pPr>
      <w:r>
        <w:t xml:space="preserve">An explanation of how the assessment methods correlate to the module or lesson structure of the course </w:t>
      </w:r>
    </w:p>
    <w:p w:rsidR="00440280" w:rsidRDefault="00440280" w:rsidP="00440280">
      <w:pPr>
        <w:pStyle w:val="Enspirebulletedtext"/>
        <w:ind w:left="720"/>
      </w:pPr>
    </w:p>
    <w:p w:rsidR="00440280" w:rsidRDefault="00DD17BE" w:rsidP="00440280">
      <w:pPr>
        <w:pStyle w:val="Enspirebulletedtext"/>
        <w:ind w:left="720"/>
      </w:pPr>
      <w:r>
        <w:t>They developed the following assessment strategy:</w:t>
      </w:r>
    </w:p>
    <w:p w:rsidR="00DD17BE" w:rsidRDefault="00DD17BE" w:rsidP="00440280">
      <w:pPr>
        <w:pStyle w:val="Enspirebulletedtext"/>
        <w:ind w:left="720"/>
      </w:pPr>
    </w:p>
    <w:p w:rsidR="00DD17BE" w:rsidRDefault="00DD17BE" w:rsidP="00DD17BE">
      <w:pPr>
        <w:pStyle w:val="Enspirebulletedtext"/>
        <w:ind w:left="720" w:right="720"/>
      </w:pPr>
      <w:r>
        <w:t>Students will be evaluated individually using objective quizzes that, subjective quizzes and examinations, and practical exercises. Each lesson of the course will include a 20 question quiz on the lesson’s readings of which at least 5 questions will require generative responses</w:t>
      </w:r>
      <w:r w:rsidR="003B4D8E">
        <w:t>.</w:t>
      </w:r>
      <w:r>
        <w:t xml:space="preserve"> Each module will include a practical exercise in which learners produce one part of a </w:t>
      </w:r>
      <w:r w:rsidR="003B4D8E">
        <w:t>reference guide for assessment.</w:t>
      </w:r>
    </w:p>
    <w:p w:rsidR="00964A47" w:rsidRDefault="00964A47" w:rsidP="00964A47">
      <w:pPr>
        <w:pStyle w:val="EnspireBodyText"/>
      </w:pPr>
    </w:p>
    <w:p w:rsidR="00964A47" w:rsidRDefault="00964A47" w:rsidP="00964A47">
      <w:pPr>
        <w:pStyle w:val="EnspireBodyText"/>
      </w:pPr>
    </w:p>
    <w:p w:rsidR="005C76F8" w:rsidRPr="00FC4CDF" w:rsidRDefault="005C76F8" w:rsidP="005C76F8">
      <w:pPr>
        <w:pStyle w:val="Enspirebulletedtext"/>
      </w:pPr>
      <w:r>
        <w:rPr>
          <w:b/>
        </w:rPr>
        <w:t>Section 3:  Focus of analysis: How does the assessment strategy evolve from the learning objectives?</w:t>
      </w:r>
    </w:p>
    <w:p w:rsidR="005C76F8" w:rsidRPr="00A06BB7" w:rsidRDefault="005C76F8" w:rsidP="005C76F8">
      <w:pPr>
        <w:pStyle w:val="Enspirebulletedtext"/>
        <w:rPr>
          <w:b/>
        </w:rPr>
      </w:pPr>
    </w:p>
    <w:p w:rsidR="005C76F8" w:rsidRDefault="005C76F8" w:rsidP="005C76F8">
      <w:pPr>
        <w:pStyle w:val="Enspirebulletedtext"/>
        <w:numPr>
          <w:ilvl w:val="0"/>
          <w:numId w:val="13"/>
        </w:numPr>
        <w:rPr>
          <w:b/>
        </w:rPr>
      </w:pPr>
      <w:r w:rsidRPr="0009767D">
        <w:rPr>
          <w:b/>
        </w:rPr>
        <w:t>Analysis Prompts</w:t>
      </w:r>
    </w:p>
    <w:p w:rsidR="005C76F8" w:rsidRPr="005C76F8" w:rsidRDefault="005C76F8" w:rsidP="005C76F8">
      <w:pPr>
        <w:pStyle w:val="Enspirebulletedtext"/>
        <w:numPr>
          <w:ilvl w:val="1"/>
          <w:numId w:val="13"/>
        </w:numPr>
        <w:rPr>
          <w:b/>
        </w:rPr>
      </w:pPr>
      <w:r>
        <w:t>How do the learning objectives inform the development of an assessment strategy?</w:t>
      </w:r>
    </w:p>
    <w:p w:rsidR="005C76F8" w:rsidRDefault="005C76F8" w:rsidP="005C76F8">
      <w:pPr>
        <w:pStyle w:val="Enspirebulletedtext"/>
        <w:numPr>
          <w:ilvl w:val="1"/>
          <w:numId w:val="13"/>
        </w:numPr>
        <w:rPr>
          <w:b/>
        </w:rPr>
      </w:pPr>
      <w:r>
        <w:t>How do you align the assessment to the learning objectives?</w:t>
      </w:r>
    </w:p>
    <w:p w:rsidR="005C76F8" w:rsidRDefault="005C76F8" w:rsidP="005C76F8">
      <w:pPr>
        <w:pStyle w:val="Enspirebulletedtext"/>
        <w:rPr>
          <w:b/>
        </w:rPr>
      </w:pPr>
      <w:r w:rsidRPr="0009767D">
        <w:rPr>
          <w:b/>
        </w:rPr>
        <w:t>ANALYSIS GUIDE</w:t>
      </w:r>
    </w:p>
    <w:p w:rsidR="005C76F8" w:rsidRDefault="005C76F8" w:rsidP="005C76F8">
      <w:pPr>
        <w:pStyle w:val="Enspirebulletedtext"/>
        <w:rPr>
          <w:b/>
        </w:rPr>
      </w:pPr>
      <w:r>
        <w:rPr>
          <w:b/>
        </w:rPr>
        <w:t xml:space="preserve">             Prompt</w:t>
      </w:r>
    </w:p>
    <w:p w:rsidR="005C76F8" w:rsidRDefault="005C76F8" w:rsidP="005C76F8">
      <w:pPr>
        <w:pStyle w:val="Enspirebulletedtext"/>
        <w:numPr>
          <w:ilvl w:val="0"/>
          <w:numId w:val="13"/>
        </w:numPr>
        <w:ind w:left="720"/>
        <w:rPr>
          <w:b/>
        </w:rPr>
      </w:pPr>
      <w:r w:rsidRPr="005C76F8">
        <w:rPr>
          <w:b/>
        </w:rPr>
        <w:t>How do the learning objectives inform the development of an assessment strategy?</w:t>
      </w:r>
    </w:p>
    <w:p w:rsidR="00B228DB" w:rsidRDefault="005C76F8" w:rsidP="005C76F8">
      <w:pPr>
        <w:pStyle w:val="Enspirebulletedtext"/>
        <w:ind w:left="720"/>
      </w:pPr>
      <w:r>
        <w:lastRenderedPageBreak/>
        <w:t xml:space="preserve">The first thing to remember is that </w:t>
      </w:r>
      <w:r w:rsidR="00260F8C">
        <w:t>assessment drives instruction. That is, we must make sure that we are assessing learners in a manner that will measure appropriate knowledge/skills</w:t>
      </w:r>
      <w:r w:rsidR="00B228DB">
        <w:t xml:space="preserve"> </w:t>
      </w:r>
      <w:r w:rsidR="00260F8C">
        <w:t>as they move through the learning asset.  If we are not measuring the correct knowledge and/or skills, the learner will not be prepared to meet the desired performance competencies upon completing the learning asset.</w:t>
      </w:r>
      <w:r w:rsidR="00B228DB">
        <w:t xml:space="preserve">  For instance, if you were in a history class where the desired performance competency was </w:t>
      </w:r>
      <w:r w:rsidR="00B228DB">
        <w:rPr>
          <w:b/>
        </w:rPr>
        <w:t>“</w:t>
      </w:r>
      <w:r w:rsidR="00876587">
        <w:rPr>
          <w:b/>
        </w:rPr>
        <w:t>understand</w:t>
      </w:r>
      <w:r w:rsidR="00B228DB">
        <w:rPr>
          <w:b/>
        </w:rPr>
        <w:t xml:space="preserve"> battle strategies”, </w:t>
      </w:r>
      <w:r w:rsidR="00B228DB">
        <w:t xml:space="preserve">yet the formative assessments (i.e. those assessments you took along the way) only tested you on the names of generals and the dates and places of the battles, then </w:t>
      </w:r>
      <w:r w:rsidR="00876587">
        <w:t xml:space="preserve">the formative </w:t>
      </w:r>
      <w:r w:rsidR="00B228DB">
        <w:t xml:space="preserve">assessments </w:t>
      </w:r>
      <w:r w:rsidR="00876587">
        <w:t>did not prepare you to meet the desired performance competency.</w:t>
      </w:r>
    </w:p>
    <w:p w:rsidR="00876587" w:rsidRDefault="00876587" w:rsidP="005C76F8">
      <w:pPr>
        <w:pStyle w:val="Enspirebulletedtext"/>
        <w:ind w:left="720"/>
      </w:pPr>
      <w:r>
        <w:t>Remember also that the desired performance competencies were developed during the task analysis which informed the terminal objectives.  The objectives translated the desired performance competencies into observable, measurable behaviors.  So in our history example the objective may read “</w:t>
      </w:r>
      <w:r w:rsidRPr="00876587">
        <w:rPr>
          <w:b/>
        </w:rPr>
        <w:t xml:space="preserve">The student will be able to </w:t>
      </w:r>
      <w:r>
        <w:rPr>
          <w:b/>
        </w:rPr>
        <w:t>compare and contrast</w:t>
      </w:r>
      <w:r w:rsidRPr="00876587">
        <w:rPr>
          <w:b/>
        </w:rPr>
        <w:t xml:space="preserve"> battle strategies of the north and south in the battle of the Wilderness”</w:t>
      </w:r>
      <w:r>
        <w:rPr>
          <w:b/>
        </w:rPr>
        <w:t xml:space="preserve">. </w:t>
      </w:r>
      <w:r>
        <w:t xml:space="preserve">  </w:t>
      </w:r>
    </w:p>
    <w:p w:rsidR="00876587" w:rsidRPr="00876587" w:rsidRDefault="00876587" w:rsidP="005C76F8">
      <w:pPr>
        <w:pStyle w:val="Enspirebulletedtext"/>
        <w:ind w:left="720"/>
      </w:pPr>
      <w:r>
        <w:t xml:space="preserve">Once we have our objective it is easy to see that quizzing learners on names and dates may help them on Jeopardy, but will not help them meet the desired performance competencies.  In this way, if we look to the objectives, we can appropriately align our </w:t>
      </w:r>
      <w:r w:rsidR="00D1705E">
        <w:t>assessments.</w:t>
      </w:r>
    </w:p>
    <w:p w:rsidR="00876587" w:rsidRDefault="00876587" w:rsidP="005C76F8">
      <w:pPr>
        <w:pStyle w:val="Enspirebulletedtext"/>
        <w:ind w:left="720"/>
      </w:pPr>
    </w:p>
    <w:p w:rsidR="001574FC" w:rsidRDefault="001574FC" w:rsidP="001574FC">
      <w:pPr>
        <w:pStyle w:val="Enspirebulletedtext"/>
        <w:rPr>
          <w:b/>
        </w:rPr>
      </w:pPr>
      <w:r>
        <w:rPr>
          <w:b/>
        </w:rPr>
        <w:t xml:space="preserve">            Prompt</w:t>
      </w:r>
    </w:p>
    <w:p w:rsidR="001574FC" w:rsidRDefault="001574FC" w:rsidP="001574FC">
      <w:pPr>
        <w:pStyle w:val="Enspirebulletedtext"/>
        <w:numPr>
          <w:ilvl w:val="0"/>
          <w:numId w:val="13"/>
        </w:numPr>
        <w:ind w:left="720"/>
        <w:rPr>
          <w:b/>
        </w:rPr>
      </w:pPr>
      <w:r w:rsidRPr="005C76F8">
        <w:rPr>
          <w:b/>
        </w:rPr>
        <w:t xml:space="preserve">How do </w:t>
      </w:r>
      <w:r>
        <w:rPr>
          <w:b/>
        </w:rPr>
        <w:t>you align the assessment to the learning objectives?</w:t>
      </w:r>
    </w:p>
    <w:p w:rsidR="00B228DB" w:rsidRDefault="001574FC" w:rsidP="005C76F8">
      <w:pPr>
        <w:pStyle w:val="Enspirebulletedtext"/>
        <w:ind w:left="720"/>
      </w:pPr>
      <w:r>
        <w:t>Once you know what your objectives are you can place them on a knowledge dimension/cognitive process dimension matrix.  This will tell you at what the level of Bloom’s your objectives are and what type of knowledge they address.  This will give you the cognitive level at which you should be assessing and also the type of knowledge you are assessing.  You now have two dimensions to which you can align your assessments.</w:t>
      </w:r>
    </w:p>
    <w:p w:rsidR="005C76F8" w:rsidRPr="005C76F8" w:rsidRDefault="005C76F8" w:rsidP="005C76F8">
      <w:pPr>
        <w:pStyle w:val="Enspirebulletedtex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1574FC" w:rsidRPr="006D5D46" w:rsidTr="00CC398D">
        <w:trPr>
          <w:trHeight w:val="288"/>
        </w:trPr>
        <w:tc>
          <w:tcPr>
            <w:tcW w:w="1450" w:type="dxa"/>
          </w:tcPr>
          <w:p w:rsidR="001574FC" w:rsidRDefault="001574FC" w:rsidP="00CC398D">
            <w:pPr>
              <w:pStyle w:val="Enspirebulletedtext"/>
              <w:rPr>
                <w:b/>
              </w:rPr>
            </w:pPr>
            <w:r>
              <w:rPr>
                <w:b/>
              </w:rPr>
              <w:t>Knowledge Dimension</w:t>
            </w:r>
          </w:p>
        </w:tc>
        <w:tc>
          <w:tcPr>
            <w:tcW w:w="7085" w:type="dxa"/>
            <w:gridSpan w:val="6"/>
          </w:tcPr>
          <w:p w:rsidR="001574FC" w:rsidRPr="006D5D46" w:rsidRDefault="001574FC" w:rsidP="00CC398D">
            <w:pPr>
              <w:pStyle w:val="Enspirebulletedtext"/>
              <w:jc w:val="center"/>
              <w:rPr>
                <w:b/>
              </w:rPr>
            </w:pPr>
            <w:r>
              <w:rPr>
                <w:b/>
              </w:rPr>
              <w:t>Cognitive Process Dimension</w:t>
            </w:r>
          </w:p>
        </w:tc>
      </w:tr>
      <w:tr w:rsidR="001574FC" w:rsidRPr="006D5D46" w:rsidTr="00CC398D">
        <w:trPr>
          <w:trHeight w:val="288"/>
        </w:trPr>
        <w:tc>
          <w:tcPr>
            <w:tcW w:w="1450" w:type="dxa"/>
            <w:shd w:val="clear" w:color="auto" w:fill="606060"/>
          </w:tcPr>
          <w:p w:rsidR="001574FC" w:rsidRPr="006D5D46" w:rsidRDefault="001574FC" w:rsidP="00CC398D">
            <w:pPr>
              <w:pStyle w:val="Enspirebulletedtext"/>
            </w:pPr>
          </w:p>
        </w:tc>
        <w:tc>
          <w:tcPr>
            <w:tcW w:w="1206" w:type="dxa"/>
          </w:tcPr>
          <w:p w:rsidR="001574FC" w:rsidRPr="006D5D46" w:rsidRDefault="001574FC" w:rsidP="00CC398D">
            <w:pPr>
              <w:pStyle w:val="Enspirebulletedtext"/>
              <w:jc w:val="center"/>
              <w:rPr>
                <w:i/>
              </w:rPr>
            </w:pPr>
            <w:r w:rsidRPr="006D5D46">
              <w:rPr>
                <w:i/>
              </w:rPr>
              <w:t>Remember</w:t>
            </w:r>
          </w:p>
        </w:tc>
        <w:tc>
          <w:tcPr>
            <w:tcW w:w="1250" w:type="dxa"/>
          </w:tcPr>
          <w:p w:rsidR="001574FC" w:rsidRPr="006D5D46" w:rsidRDefault="001574FC" w:rsidP="00CC398D">
            <w:pPr>
              <w:pStyle w:val="Enspirebulletedtext"/>
              <w:jc w:val="center"/>
              <w:rPr>
                <w:i/>
              </w:rPr>
            </w:pPr>
            <w:r w:rsidRPr="00964115">
              <w:rPr>
                <w:i/>
                <w:highlight w:val="yellow"/>
              </w:rPr>
              <w:t>Understand</w:t>
            </w:r>
          </w:p>
        </w:tc>
        <w:tc>
          <w:tcPr>
            <w:tcW w:w="1157" w:type="dxa"/>
          </w:tcPr>
          <w:p w:rsidR="001574FC" w:rsidRPr="006D5D46" w:rsidRDefault="001574FC" w:rsidP="00CC398D">
            <w:pPr>
              <w:pStyle w:val="Enspirebulletedtext"/>
              <w:jc w:val="center"/>
              <w:rPr>
                <w:i/>
              </w:rPr>
            </w:pPr>
            <w:r w:rsidRPr="006D5D46">
              <w:rPr>
                <w:i/>
              </w:rPr>
              <w:t>Apply</w:t>
            </w:r>
          </w:p>
        </w:tc>
        <w:tc>
          <w:tcPr>
            <w:tcW w:w="1157" w:type="dxa"/>
          </w:tcPr>
          <w:p w:rsidR="001574FC" w:rsidRPr="006D5D46" w:rsidRDefault="001574FC" w:rsidP="00CC398D">
            <w:pPr>
              <w:pStyle w:val="Enspirebulletedtext"/>
              <w:jc w:val="center"/>
              <w:rPr>
                <w:i/>
              </w:rPr>
            </w:pPr>
            <w:r w:rsidRPr="006D5D46">
              <w:rPr>
                <w:i/>
              </w:rPr>
              <w:t>Analyze</w:t>
            </w:r>
          </w:p>
        </w:tc>
        <w:tc>
          <w:tcPr>
            <w:tcW w:w="1157" w:type="dxa"/>
          </w:tcPr>
          <w:p w:rsidR="001574FC" w:rsidRPr="006D5D46" w:rsidRDefault="001574FC" w:rsidP="00CC398D">
            <w:pPr>
              <w:pStyle w:val="Enspirebulletedtext"/>
              <w:jc w:val="center"/>
              <w:rPr>
                <w:i/>
              </w:rPr>
            </w:pPr>
            <w:r w:rsidRPr="006D5D46">
              <w:rPr>
                <w:i/>
              </w:rPr>
              <w:t>Evaluate</w:t>
            </w:r>
          </w:p>
        </w:tc>
        <w:tc>
          <w:tcPr>
            <w:tcW w:w="1158" w:type="dxa"/>
          </w:tcPr>
          <w:p w:rsidR="001574FC" w:rsidRPr="006D5D46" w:rsidRDefault="001574FC" w:rsidP="00CC398D">
            <w:pPr>
              <w:pStyle w:val="Enspirebulletedtext"/>
              <w:jc w:val="center"/>
              <w:rPr>
                <w:i/>
              </w:rPr>
            </w:pPr>
            <w:r w:rsidRPr="006D5D46">
              <w:rPr>
                <w:i/>
              </w:rPr>
              <w:t>Create</w:t>
            </w:r>
          </w:p>
        </w:tc>
      </w:tr>
      <w:tr w:rsidR="001574FC" w:rsidTr="00CC398D">
        <w:trPr>
          <w:trHeight w:val="288"/>
        </w:trPr>
        <w:tc>
          <w:tcPr>
            <w:tcW w:w="1450" w:type="dxa"/>
          </w:tcPr>
          <w:p w:rsidR="001574FC" w:rsidRPr="006D5D46" w:rsidRDefault="001574FC" w:rsidP="00CC398D">
            <w:pPr>
              <w:pStyle w:val="Enspirebulletedtext"/>
              <w:rPr>
                <w:i/>
              </w:rPr>
            </w:pPr>
            <w:r w:rsidRPr="006D5D46">
              <w:rPr>
                <w:i/>
              </w:rPr>
              <w:t>Factual Knowledge</w:t>
            </w:r>
          </w:p>
        </w:tc>
        <w:tc>
          <w:tcPr>
            <w:tcW w:w="1206" w:type="dxa"/>
          </w:tcPr>
          <w:p w:rsidR="001574FC" w:rsidRDefault="001574FC" w:rsidP="00CC398D">
            <w:pPr>
              <w:pStyle w:val="Enspirebulletedtext"/>
            </w:pPr>
            <w:r>
              <w:t>A1</w:t>
            </w:r>
          </w:p>
        </w:tc>
        <w:tc>
          <w:tcPr>
            <w:tcW w:w="1250" w:type="dxa"/>
          </w:tcPr>
          <w:p w:rsidR="001574FC" w:rsidRDefault="001574FC" w:rsidP="00CC398D">
            <w:pPr>
              <w:pStyle w:val="Enspirebulletedtext"/>
            </w:pPr>
            <w:r>
              <w:t>A2</w:t>
            </w:r>
          </w:p>
        </w:tc>
        <w:tc>
          <w:tcPr>
            <w:tcW w:w="1157" w:type="dxa"/>
          </w:tcPr>
          <w:p w:rsidR="001574FC" w:rsidRDefault="001574FC" w:rsidP="00CC398D">
            <w:pPr>
              <w:pStyle w:val="Enspirebulletedtext"/>
            </w:pPr>
            <w:r>
              <w:t>A3</w:t>
            </w:r>
          </w:p>
        </w:tc>
        <w:tc>
          <w:tcPr>
            <w:tcW w:w="1157" w:type="dxa"/>
          </w:tcPr>
          <w:p w:rsidR="001574FC" w:rsidRDefault="001574FC" w:rsidP="00CC398D">
            <w:pPr>
              <w:pStyle w:val="Enspirebulletedtext"/>
            </w:pPr>
            <w:r>
              <w:t>A4</w:t>
            </w:r>
          </w:p>
        </w:tc>
        <w:tc>
          <w:tcPr>
            <w:tcW w:w="1157" w:type="dxa"/>
          </w:tcPr>
          <w:p w:rsidR="001574FC" w:rsidRDefault="001574FC" w:rsidP="00CC398D">
            <w:pPr>
              <w:pStyle w:val="Enspirebulletedtext"/>
            </w:pPr>
            <w:r>
              <w:t>A5</w:t>
            </w:r>
          </w:p>
        </w:tc>
        <w:tc>
          <w:tcPr>
            <w:tcW w:w="1158" w:type="dxa"/>
          </w:tcPr>
          <w:p w:rsidR="001574FC" w:rsidRDefault="001574FC" w:rsidP="00CC398D">
            <w:pPr>
              <w:pStyle w:val="Enspirebulletedtext"/>
            </w:pPr>
            <w:r>
              <w:t>A6</w:t>
            </w:r>
          </w:p>
        </w:tc>
      </w:tr>
      <w:tr w:rsidR="001574FC" w:rsidTr="00CC398D">
        <w:trPr>
          <w:trHeight w:val="288"/>
        </w:trPr>
        <w:tc>
          <w:tcPr>
            <w:tcW w:w="1450" w:type="dxa"/>
          </w:tcPr>
          <w:p w:rsidR="001574FC" w:rsidRPr="006D5D46" w:rsidRDefault="001574FC" w:rsidP="00CC398D">
            <w:pPr>
              <w:pStyle w:val="Enspirebulletedtext"/>
              <w:rPr>
                <w:i/>
              </w:rPr>
            </w:pPr>
            <w:r w:rsidRPr="006D5D46">
              <w:rPr>
                <w:i/>
              </w:rPr>
              <w:t>Conceptual Knowledge</w:t>
            </w:r>
          </w:p>
        </w:tc>
        <w:tc>
          <w:tcPr>
            <w:tcW w:w="1206" w:type="dxa"/>
          </w:tcPr>
          <w:p w:rsidR="001574FC" w:rsidRDefault="001574FC" w:rsidP="00CC398D">
            <w:pPr>
              <w:pStyle w:val="Enspirebulletedtext"/>
            </w:pPr>
            <w:r>
              <w:t>B1</w:t>
            </w:r>
          </w:p>
        </w:tc>
        <w:tc>
          <w:tcPr>
            <w:tcW w:w="1250" w:type="dxa"/>
          </w:tcPr>
          <w:p w:rsidR="001574FC" w:rsidRDefault="001574FC" w:rsidP="00CC398D">
            <w:pPr>
              <w:pStyle w:val="Enspirebulletedtext"/>
            </w:pPr>
            <w:r w:rsidRPr="00964115">
              <w:rPr>
                <w:highlight w:val="yellow"/>
              </w:rPr>
              <w:t>B2</w:t>
            </w:r>
          </w:p>
        </w:tc>
        <w:tc>
          <w:tcPr>
            <w:tcW w:w="1157" w:type="dxa"/>
          </w:tcPr>
          <w:p w:rsidR="001574FC" w:rsidRDefault="001574FC" w:rsidP="00CC398D">
            <w:pPr>
              <w:pStyle w:val="Enspirebulletedtext"/>
            </w:pPr>
            <w:r>
              <w:t>B3</w:t>
            </w:r>
          </w:p>
        </w:tc>
        <w:tc>
          <w:tcPr>
            <w:tcW w:w="1157" w:type="dxa"/>
          </w:tcPr>
          <w:p w:rsidR="001574FC" w:rsidRDefault="001574FC" w:rsidP="00CC398D">
            <w:pPr>
              <w:pStyle w:val="Enspirebulletedtext"/>
            </w:pPr>
            <w:r>
              <w:t>B4</w:t>
            </w:r>
          </w:p>
        </w:tc>
        <w:tc>
          <w:tcPr>
            <w:tcW w:w="1157" w:type="dxa"/>
          </w:tcPr>
          <w:p w:rsidR="001574FC" w:rsidRDefault="001574FC" w:rsidP="00CC398D">
            <w:pPr>
              <w:pStyle w:val="Enspirebulletedtext"/>
            </w:pPr>
            <w:r>
              <w:t>B5</w:t>
            </w:r>
          </w:p>
        </w:tc>
        <w:tc>
          <w:tcPr>
            <w:tcW w:w="1158" w:type="dxa"/>
          </w:tcPr>
          <w:p w:rsidR="001574FC" w:rsidRDefault="001574FC" w:rsidP="00CC398D">
            <w:pPr>
              <w:pStyle w:val="Enspirebulletedtext"/>
            </w:pPr>
            <w:r>
              <w:t>B6</w:t>
            </w:r>
          </w:p>
        </w:tc>
      </w:tr>
      <w:tr w:rsidR="001574FC" w:rsidTr="00CC398D">
        <w:trPr>
          <w:trHeight w:val="288"/>
        </w:trPr>
        <w:tc>
          <w:tcPr>
            <w:tcW w:w="1450" w:type="dxa"/>
          </w:tcPr>
          <w:p w:rsidR="001574FC" w:rsidRPr="006D5D46" w:rsidRDefault="001574FC" w:rsidP="00CC398D">
            <w:pPr>
              <w:pStyle w:val="Enspirebulletedtext"/>
              <w:rPr>
                <w:i/>
              </w:rPr>
            </w:pPr>
            <w:r w:rsidRPr="006D5D46">
              <w:rPr>
                <w:i/>
              </w:rPr>
              <w:t>Procedural Knowledge</w:t>
            </w:r>
          </w:p>
        </w:tc>
        <w:tc>
          <w:tcPr>
            <w:tcW w:w="1206" w:type="dxa"/>
          </w:tcPr>
          <w:p w:rsidR="001574FC" w:rsidRDefault="001574FC" w:rsidP="00CC398D">
            <w:pPr>
              <w:pStyle w:val="Enspirebulletedtext"/>
            </w:pPr>
            <w:r>
              <w:t>C1</w:t>
            </w:r>
          </w:p>
        </w:tc>
        <w:tc>
          <w:tcPr>
            <w:tcW w:w="1250" w:type="dxa"/>
          </w:tcPr>
          <w:p w:rsidR="001574FC" w:rsidRDefault="001574FC" w:rsidP="00CC398D">
            <w:pPr>
              <w:pStyle w:val="Enspirebulletedtext"/>
            </w:pPr>
            <w:r w:rsidRPr="00964115">
              <w:rPr>
                <w:highlight w:val="yellow"/>
              </w:rPr>
              <w:t>C2</w:t>
            </w:r>
          </w:p>
        </w:tc>
        <w:tc>
          <w:tcPr>
            <w:tcW w:w="1157" w:type="dxa"/>
          </w:tcPr>
          <w:p w:rsidR="001574FC" w:rsidRDefault="001574FC" w:rsidP="00CC398D">
            <w:pPr>
              <w:pStyle w:val="Enspirebulletedtext"/>
            </w:pPr>
            <w:r>
              <w:t>C3</w:t>
            </w:r>
          </w:p>
        </w:tc>
        <w:tc>
          <w:tcPr>
            <w:tcW w:w="1157" w:type="dxa"/>
          </w:tcPr>
          <w:p w:rsidR="001574FC" w:rsidRDefault="001574FC" w:rsidP="00CC398D">
            <w:pPr>
              <w:pStyle w:val="Enspirebulletedtext"/>
            </w:pPr>
            <w:r>
              <w:t>C4</w:t>
            </w:r>
          </w:p>
        </w:tc>
        <w:tc>
          <w:tcPr>
            <w:tcW w:w="1157" w:type="dxa"/>
          </w:tcPr>
          <w:p w:rsidR="001574FC" w:rsidRDefault="001574FC" w:rsidP="00CC398D">
            <w:pPr>
              <w:pStyle w:val="Enspirebulletedtext"/>
            </w:pPr>
            <w:r>
              <w:t>C5</w:t>
            </w:r>
          </w:p>
        </w:tc>
        <w:tc>
          <w:tcPr>
            <w:tcW w:w="1158" w:type="dxa"/>
          </w:tcPr>
          <w:p w:rsidR="001574FC" w:rsidRDefault="001574FC" w:rsidP="00CC398D">
            <w:pPr>
              <w:pStyle w:val="Enspirebulletedtext"/>
            </w:pPr>
            <w:r>
              <w:t>C6</w:t>
            </w:r>
          </w:p>
        </w:tc>
      </w:tr>
      <w:tr w:rsidR="001574FC" w:rsidTr="00CC398D">
        <w:trPr>
          <w:trHeight w:val="288"/>
        </w:trPr>
        <w:tc>
          <w:tcPr>
            <w:tcW w:w="1450" w:type="dxa"/>
          </w:tcPr>
          <w:p w:rsidR="001574FC" w:rsidRPr="006D5D46" w:rsidRDefault="001574FC" w:rsidP="00CC398D">
            <w:pPr>
              <w:pStyle w:val="Enspirebulletedtext"/>
              <w:rPr>
                <w:i/>
              </w:rPr>
            </w:pPr>
            <w:proofErr w:type="spellStart"/>
            <w:r w:rsidRPr="006D5D46">
              <w:rPr>
                <w:i/>
              </w:rPr>
              <w:t>Metacognitive</w:t>
            </w:r>
            <w:proofErr w:type="spellEnd"/>
            <w:r w:rsidRPr="006D5D46">
              <w:rPr>
                <w:i/>
              </w:rPr>
              <w:t xml:space="preserve"> Knowledge</w:t>
            </w:r>
          </w:p>
        </w:tc>
        <w:tc>
          <w:tcPr>
            <w:tcW w:w="1206" w:type="dxa"/>
          </w:tcPr>
          <w:p w:rsidR="001574FC" w:rsidRDefault="001574FC" w:rsidP="00CC398D">
            <w:pPr>
              <w:pStyle w:val="Enspirebulletedtext"/>
            </w:pPr>
            <w:r>
              <w:t>D1</w:t>
            </w:r>
          </w:p>
        </w:tc>
        <w:tc>
          <w:tcPr>
            <w:tcW w:w="1250" w:type="dxa"/>
          </w:tcPr>
          <w:p w:rsidR="001574FC" w:rsidRDefault="001574FC" w:rsidP="00CC398D">
            <w:pPr>
              <w:pStyle w:val="Enspirebulletedtext"/>
            </w:pPr>
            <w:r>
              <w:t>D2</w:t>
            </w:r>
          </w:p>
        </w:tc>
        <w:tc>
          <w:tcPr>
            <w:tcW w:w="1157" w:type="dxa"/>
          </w:tcPr>
          <w:p w:rsidR="001574FC" w:rsidRDefault="001574FC" w:rsidP="00CC398D">
            <w:pPr>
              <w:pStyle w:val="Enspirebulletedtext"/>
            </w:pPr>
            <w:r>
              <w:t>D3</w:t>
            </w:r>
          </w:p>
        </w:tc>
        <w:tc>
          <w:tcPr>
            <w:tcW w:w="1157" w:type="dxa"/>
          </w:tcPr>
          <w:p w:rsidR="001574FC" w:rsidRDefault="001574FC" w:rsidP="00CC398D">
            <w:pPr>
              <w:pStyle w:val="Enspirebulletedtext"/>
            </w:pPr>
            <w:r>
              <w:t>D4</w:t>
            </w:r>
          </w:p>
        </w:tc>
        <w:tc>
          <w:tcPr>
            <w:tcW w:w="1157" w:type="dxa"/>
          </w:tcPr>
          <w:p w:rsidR="001574FC" w:rsidRDefault="001574FC" w:rsidP="00CC398D">
            <w:pPr>
              <w:pStyle w:val="Enspirebulletedtext"/>
            </w:pPr>
            <w:r>
              <w:t>D5</w:t>
            </w:r>
          </w:p>
        </w:tc>
        <w:tc>
          <w:tcPr>
            <w:tcW w:w="1158" w:type="dxa"/>
          </w:tcPr>
          <w:p w:rsidR="001574FC" w:rsidRDefault="001574FC" w:rsidP="00CC398D">
            <w:pPr>
              <w:pStyle w:val="Enspirebulletedtext"/>
            </w:pPr>
            <w:r>
              <w:t>D6</w:t>
            </w:r>
          </w:p>
        </w:tc>
      </w:tr>
    </w:tbl>
    <w:p w:rsidR="00964A47" w:rsidRPr="009965A8" w:rsidRDefault="00964A47" w:rsidP="009965A8">
      <w:pPr>
        <w:rPr>
          <w:rFonts w:ascii="Arial" w:hAnsi="Arial" w:cs="Arial"/>
          <w:sz w:val="20"/>
          <w:szCs w:val="20"/>
        </w:rPr>
      </w:pPr>
    </w:p>
    <w:p w:rsidR="00872DAE" w:rsidRDefault="00872DAE" w:rsidP="00872DAE">
      <w:pPr>
        <w:rPr>
          <w:rFonts w:ascii="Arial" w:hAnsi="Arial" w:cs="Arial"/>
          <w:sz w:val="20"/>
          <w:szCs w:val="20"/>
        </w:rPr>
      </w:pPr>
    </w:p>
    <w:p w:rsidR="00872DAE" w:rsidRDefault="00872DAE" w:rsidP="00872DAE">
      <w:pPr>
        <w:rPr>
          <w:rFonts w:ascii="Arial" w:hAnsi="Arial" w:cs="Arial"/>
          <w:sz w:val="20"/>
          <w:szCs w:val="20"/>
        </w:rPr>
      </w:pPr>
    </w:p>
    <w:p w:rsidR="00872DAE" w:rsidRDefault="00872DAE" w:rsidP="00872DAE">
      <w:pPr>
        <w:pStyle w:val="ListParagraph"/>
        <w:numPr>
          <w:ilvl w:val="0"/>
          <w:numId w:val="13"/>
        </w:numPr>
        <w:rPr>
          <w:rFonts w:ascii="Arial" w:hAnsi="Arial" w:cs="Arial"/>
          <w:sz w:val="20"/>
          <w:szCs w:val="20"/>
        </w:rPr>
      </w:pPr>
      <w:r>
        <w:rPr>
          <w:rFonts w:ascii="Arial" w:hAnsi="Arial" w:cs="Arial"/>
          <w:sz w:val="20"/>
          <w:szCs w:val="20"/>
        </w:rPr>
        <w:t>You must now consider the additional variables when considering your assessment strategy:</w:t>
      </w:r>
    </w:p>
    <w:p w:rsidR="009965A8" w:rsidRDefault="009965A8" w:rsidP="009965A8">
      <w:pPr>
        <w:pStyle w:val="Enspirebulletedtext"/>
        <w:numPr>
          <w:ilvl w:val="1"/>
          <w:numId w:val="13"/>
        </w:numPr>
      </w:pPr>
      <w:r>
        <w:t xml:space="preserve">The cognitive dimensions and knowledge dimensions of the respective objectives covered by all or part of a learning asset </w:t>
      </w:r>
    </w:p>
    <w:p w:rsidR="009965A8" w:rsidRDefault="009965A8" w:rsidP="009965A8">
      <w:pPr>
        <w:pStyle w:val="Enspirebulletedtext"/>
        <w:numPr>
          <w:ilvl w:val="1"/>
          <w:numId w:val="13"/>
        </w:numPr>
      </w:pPr>
      <w:r>
        <w:t>The various assessment method categories</w:t>
      </w:r>
    </w:p>
    <w:p w:rsidR="009965A8" w:rsidRDefault="009965A8" w:rsidP="009965A8">
      <w:pPr>
        <w:pStyle w:val="Enspirebulletedtext"/>
        <w:numPr>
          <w:ilvl w:val="1"/>
          <w:numId w:val="13"/>
        </w:numPr>
      </w:pPr>
      <w:r>
        <w:t xml:space="preserve">The most effective and efficient method for assessing the knowledge and thinking involved in performing a learning objective </w:t>
      </w:r>
    </w:p>
    <w:p w:rsidR="009965A8" w:rsidRDefault="009965A8" w:rsidP="009965A8">
      <w:pPr>
        <w:pStyle w:val="Enspirebulletedtext"/>
        <w:numPr>
          <w:ilvl w:val="1"/>
          <w:numId w:val="13"/>
        </w:numPr>
      </w:pPr>
      <w:r>
        <w:t xml:space="preserve">Logistical and resource constraints that assessment methods must conform to </w:t>
      </w:r>
    </w:p>
    <w:p w:rsidR="009965A8" w:rsidRPr="0058090A" w:rsidRDefault="009965A8" w:rsidP="009965A8">
      <w:pPr>
        <w:pStyle w:val="Enspirebulletedtext"/>
        <w:numPr>
          <w:ilvl w:val="1"/>
          <w:numId w:val="13"/>
        </w:numPr>
      </w:pPr>
      <w:r>
        <w:lastRenderedPageBreak/>
        <w:t xml:space="preserve">The ability of the methods selected to fully assess all of the objectives defined for a learning asset </w:t>
      </w:r>
    </w:p>
    <w:p w:rsidR="009965A8" w:rsidRDefault="009965A8">
      <w:pPr>
        <w:rPr>
          <w:rFonts w:ascii="Arial" w:hAnsi="Arial" w:cs="Arial"/>
          <w:sz w:val="20"/>
          <w:szCs w:val="20"/>
        </w:rPr>
      </w:pPr>
      <w:r>
        <w:rPr>
          <w:rFonts w:ascii="Arial" w:hAnsi="Arial" w:cs="Arial"/>
          <w:sz w:val="20"/>
          <w:szCs w:val="20"/>
        </w:rPr>
        <w:br w:type="page"/>
      </w:r>
    </w:p>
    <w:p w:rsidR="00872DAE" w:rsidRDefault="009965A8" w:rsidP="009965A8">
      <w:pPr>
        <w:pStyle w:val="ListParagraph"/>
        <w:numPr>
          <w:ilvl w:val="0"/>
          <w:numId w:val="13"/>
        </w:numPr>
        <w:rPr>
          <w:rFonts w:ascii="Arial" w:hAnsi="Arial" w:cs="Arial"/>
          <w:sz w:val="20"/>
          <w:szCs w:val="20"/>
        </w:rPr>
      </w:pPr>
      <w:r>
        <w:rPr>
          <w:rFonts w:ascii="Arial" w:hAnsi="Arial" w:cs="Arial"/>
          <w:sz w:val="20"/>
          <w:szCs w:val="20"/>
        </w:rPr>
        <w:lastRenderedPageBreak/>
        <w:t>After picking the most appropriate assessment strategy for your learning asset you must write an assessment strategy that is consistent with DAU guidelines:</w:t>
      </w:r>
    </w:p>
    <w:p w:rsidR="009965A8" w:rsidRPr="009965A8" w:rsidRDefault="009965A8" w:rsidP="009965A8">
      <w:pPr>
        <w:rPr>
          <w:rFonts w:ascii="Arial" w:hAnsi="Arial" w:cs="Arial"/>
          <w:sz w:val="20"/>
          <w:szCs w:val="20"/>
        </w:rPr>
      </w:pPr>
    </w:p>
    <w:p w:rsidR="009965A8" w:rsidRDefault="009965A8" w:rsidP="009965A8">
      <w:pPr>
        <w:pStyle w:val="Enspirebulletedtext"/>
        <w:numPr>
          <w:ilvl w:val="0"/>
          <w:numId w:val="12"/>
        </w:numPr>
      </w:pPr>
      <w:r>
        <w:t xml:space="preserve">Identification of all the methods of assessment for a learning asset </w:t>
      </w:r>
    </w:p>
    <w:p w:rsidR="009965A8" w:rsidRDefault="009965A8" w:rsidP="009965A8">
      <w:pPr>
        <w:pStyle w:val="Enspirebulletedtext"/>
        <w:numPr>
          <w:ilvl w:val="0"/>
          <w:numId w:val="12"/>
        </w:numPr>
      </w:pPr>
      <w:r>
        <w:t xml:space="preserve">A brief description of each of the specific methods of assessment </w:t>
      </w:r>
    </w:p>
    <w:p w:rsidR="009965A8" w:rsidRPr="009965A8" w:rsidRDefault="009965A8" w:rsidP="009965A8">
      <w:pPr>
        <w:pStyle w:val="ListParagraph"/>
        <w:numPr>
          <w:ilvl w:val="0"/>
          <w:numId w:val="16"/>
        </w:numPr>
        <w:rPr>
          <w:rFonts w:ascii="Arial" w:hAnsi="Arial" w:cs="Arial"/>
          <w:sz w:val="20"/>
          <w:szCs w:val="20"/>
        </w:rPr>
      </w:pPr>
      <w:r w:rsidRPr="009965A8">
        <w:rPr>
          <w:rFonts w:ascii="Arial" w:hAnsi="Arial" w:cs="Arial"/>
          <w:sz w:val="20"/>
          <w:szCs w:val="20"/>
        </w:rPr>
        <w:t>An explanation of how the assessment methods correlate to the module or lesson structure of the course</w:t>
      </w:r>
    </w:p>
    <w:sectPr w:rsidR="009965A8" w:rsidRPr="009965A8" w:rsidSect="006372B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B3E" w:rsidRDefault="00D51B3E" w:rsidP="003831DE">
      <w:r>
        <w:separator/>
      </w:r>
    </w:p>
  </w:endnote>
  <w:endnote w:type="continuationSeparator" w:id="0">
    <w:p w:rsidR="00D51B3E" w:rsidRDefault="00D51B3E" w:rsidP="003831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92067"/>
      <w:docPartObj>
        <w:docPartGallery w:val="Page Numbers (Bottom of Page)"/>
        <w:docPartUnique/>
      </w:docPartObj>
    </w:sdtPr>
    <w:sdtContent>
      <w:p w:rsidR="00105008" w:rsidRDefault="00105008">
        <w:pPr>
          <w:pStyle w:val="Footer"/>
          <w:jc w:val="center"/>
        </w:pPr>
        <w:fldSimple w:instr=" PAGE   \* MERGEFORMAT ">
          <w:r w:rsidR="004E032A">
            <w:rPr>
              <w:noProof/>
            </w:rPr>
            <w:t>2</w:t>
          </w:r>
        </w:fldSimple>
      </w:p>
    </w:sdtContent>
  </w:sdt>
  <w:p w:rsidR="00105008" w:rsidRDefault="001050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B3E" w:rsidRDefault="00D51B3E" w:rsidP="003831DE">
      <w:r>
        <w:separator/>
      </w:r>
    </w:p>
  </w:footnote>
  <w:footnote w:type="continuationSeparator" w:id="0">
    <w:p w:rsidR="00D51B3E" w:rsidRDefault="00D51B3E" w:rsidP="00383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08" w:rsidRPr="00EC5DCA" w:rsidRDefault="00105008" w:rsidP="006116B3">
    <w:pPr>
      <w:pStyle w:val="Header"/>
      <w:tabs>
        <w:tab w:val="left" w:pos="6330"/>
      </w:tabs>
      <w:rPr>
        <w:rFonts w:ascii="Arial" w:hAnsi="Arial" w:cs="Arial"/>
        <w:sz w:val="20"/>
        <w:szCs w:val="20"/>
      </w:rPr>
    </w:pPr>
    <w:r>
      <w:rPr>
        <w:rFonts w:ascii="Arial" w:hAnsi="Arial" w:cs="Arial"/>
        <w:sz w:val="20"/>
        <w:szCs w:val="20"/>
      </w:rPr>
      <w:tab/>
    </w:r>
    <w:r w:rsidRPr="00EC5DCA">
      <w:rPr>
        <w:rFonts w:ascii="Arial" w:hAnsi="Arial" w:cs="Arial"/>
        <w:sz w:val="20"/>
        <w:szCs w:val="20"/>
      </w:rPr>
      <w:t>Module 2/</w:t>
    </w:r>
    <w:r>
      <w:rPr>
        <w:rFonts w:ascii="Arial" w:hAnsi="Arial" w:cs="Arial"/>
        <w:sz w:val="20"/>
        <w:szCs w:val="20"/>
      </w:rPr>
      <w:t>Lesson</w:t>
    </w:r>
    <w:r w:rsidRPr="00EC5DCA">
      <w:rPr>
        <w:rFonts w:ascii="Arial" w:hAnsi="Arial" w:cs="Arial"/>
        <w:sz w:val="20"/>
        <w:szCs w:val="20"/>
      </w:rPr>
      <w:t xml:space="preserve"> 3</w:t>
    </w:r>
    <w:r>
      <w:rPr>
        <w:rFonts w:ascii="Arial" w:hAnsi="Arial" w:cs="Arial"/>
        <w:sz w:val="20"/>
        <w:szCs w:val="20"/>
      </w:rPr>
      <w:tab/>
    </w:r>
  </w:p>
  <w:p w:rsidR="00105008" w:rsidRPr="00EC5DCA" w:rsidRDefault="00105008" w:rsidP="003831DE">
    <w:pPr>
      <w:pStyle w:val="Header"/>
      <w:jc w:val="center"/>
      <w:rPr>
        <w:rFonts w:ascii="Arial" w:hAnsi="Arial" w:cs="Arial"/>
        <w:sz w:val="20"/>
        <w:szCs w:val="20"/>
      </w:rPr>
    </w:pPr>
    <w:r w:rsidRPr="00EC5DCA">
      <w:rPr>
        <w:rFonts w:ascii="Arial" w:hAnsi="Arial" w:cs="Arial"/>
        <w:sz w:val="20"/>
        <w:szCs w:val="20"/>
      </w:rPr>
      <w:t>CASE STUDY:  ASSESSMENT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36E5"/>
    <w:multiLevelType w:val="hybridMultilevel"/>
    <w:tmpl w:val="584A8D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C8259E"/>
    <w:multiLevelType w:val="hybridMultilevel"/>
    <w:tmpl w:val="BB8EF014"/>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100E8"/>
    <w:multiLevelType w:val="hybridMultilevel"/>
    <w:tmpl w:val="CDD4FD40"/>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9D33FA"/>
    <w:multiLevelType w:val="hybridMultilevel"/>
    <w:tmpl w:val="568A63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AB4BA6"/>
    <w:multiLevelType w:val="hybridMultilevel"/>
    <w:tmpl w:val="AB7A07DE"/>
    <w:lvl w:ilvl="0" w:tplc="04090003">
      <w:start w:val="1"/>
      <w:numFmt w:val="bullet"/>
      <w:lvlText w:val="o"/>
      <w:lvlJc w:val="left"/>
      <w:pPr>
        <w:ind w:left="1080" w:hanging="360"/>
      </w:pPr>
      <w:rPr>
        <w:rFonts w:ascii="Courier New" w:hAnsi="Courier New" w:cs="Courier New" w:hint="default"/>
        <w:color w:val="065580"/>
        <w:sz w:val="20"/>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162D6F93"/>
    <w:multiLevelType w:val="hybridMultilevel"/>
    <w:tmpl w:val="605E53CC"/>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543AB"/>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1F3A2FFE"/>
    <w:multiLevelType w:val="hybridMultilevel"/>
    <w:tmpl w:val="AA726A1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7518E9"/>
    <w:multiLevelType w:val="hybridMultilevel"/>
    <w:tmpl w:val="BB426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A60EC"/>
    <w:multiLevelType w:val="hybridMultilevel"/>
    <w:tmpl w:val="2BE2CBC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A38A7"/>
    <w:multiLevelType w:val="hybridMultilevel"/>
    <w:tmpl w:val="56BCDCB0"/>
    <w:lvl w:ilvl="0" w:tplc="04090005">
      <w:start w:val="1"/>
      <w:numFmt w:val="bullet"/>
      <w:lvlText w:val=""/>
      <w:lvlJc w:val="left"/>
      <w:pPr>
        <w:ind w:left="1440" w:hanging="360"/>
      </w:pPr>
      <w:rPr>
        <w:rFonts w:ascii="Wingdings" w:hAnsi="Wingdings" w:hint="default"/>
        <w:color w:val="065580"/>
        <w:sz w:val="20"/>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A0693E"/>
    <w:multiLevelType w:val="hybridMultilevel"/>
    <w:tmpl w:val="73CAABCC"/>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520D32"/>
    <w:multiLevelType w:val="hybridMultilevel"/>
    <w:tmpl w:val="CA2699F0"/>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300E6"/>
    <w:multiLevelType w:val="hybridMultilevel"/>
    <w:tmpl w:val="0CBE2386"/>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71E96"/>
    <w:multiLevelType w:val="hybridMultilevel"/>
    <w:tmpl w:val="63D8AE82"/>
    <w:lvl w:ilvl="0" w:tplc="0409000F">
      <w:start w:val="1"/>
      <w:numFmt w:val="bullet"/>
      <w:lvlText w:val="►"/>
      <w:lvlJc w:val="left"/>
      <w:pPr>
        <w:ind w:left="765" w:hanging="360"/>
      </w:pPr>
      <w:rPr>
        <w:rFonts w:ascii="Arial" w:hAnsi="Arial" w:hint="default"/>
        <w:color w:val="065580"/>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CF30574"/>
    <w:multiLevelType w:val="hybridMultilevel"/>
    <w:tmpl w:val="B3903008"/>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04655"/>
    <w:multiLevelType w:val="hybridMultilevel"/>
    <w:tmpl w:val="DC76309A"/>
    <w:lvl w:ilvl="0" w:tplc="0409000F">
      <w:start w:val="1"/>
      <w:numFmt w:val="bullet"/>
      <w:lvlText w:val="►"/>
      <w:lvlJc w:val="left"/>
      <w:pPr>
        <w:ind w:left="765" w:hanging="360"/>
      </w:pPr>
      <w:rPr>
        <w:rFonts w:ascii="Arial" w:hAnsi="Arial" w:hint="default"/>
        <w:color w:val="065580"/>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D141F"/>
    <w:multiLevelType w:val="hybridMultilevel"/>
    <w:tmpl w:val="3530E776"/>
    <w:lvl w:ilvl="0" w:tplc="04090005">
      <w:start w:val="1"/>
      <w:numFmt w:val="bullet"/>
      <w:lvlText w:val=""/>
      <w:lvlJc w:val="left"/>
      <w:pPr>
        <w:ind w:left="1800" w:hanging="360"/>
      </w:pPr>
      <w:rPr>
        <w:rFonts w:ascii="Wingdings" w:hAnsi="Wingdings" w:hint="default"/>
        <w:color w:val="065580"/>
        <w:sz w:val="20"/>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F9C5869"/>
    <w:multiLevelType w:val="hybridMultilevel"/>
    <w:tmpl w:val="DECA6950"/>
    <w:lvl w:ilvl="0" w:tplc="FFFFFFFF">
      <w:start w:val="1"/>
      <w:numFmt w:val="bulle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19"/>
  </w:num>
  <w:num w:numId="5">
    <w:abstractNumId w:val="6"/>
  </w:num>
  <w:num w:numId="6">
    <w:abstractNumId w:val="7"/>
  </w:num>
  <w:num w:numId="7">
    <w:abstractNumId w:val="3"/>
  </w:num>
  <w:num w:numId="8">
    <w:abstractNumId w:val="8"/>
  </w:num>
  <w:num w:numId="9">
    <w:abstractNumId w:val="12"/>
  </w:num>
  <w:num w:numId="10">
    <w:abstractNumId w:val="13"/>
  </w:num>
  <w:num w:numId="11">
    <w:abstractNumId w:val="11"/>
  </w:num>
  <w:num w:numId="12">
    <w:abstractNumId w:val="0"/>
  </w:num>
  <w:num w:numId="13">
    <w:abstractNumId w:val="2"/>
  </w:num>
  <w:num w:numId="14">
    <w:abstractNumId w:val="17"/>
  </w:num>
  <w:num w:numId="15">
    <w:abstractNumId w:val="18"/>
  </w:num>
  <w:num w:numId="16">
    <w:abstractNumId w:val="10"/>
  </w:num>
  <w:num w:numId="17">
    <w:abstractNumId w:val="9"/>
  </w:num>
  <w:num w:numId="18">
    <w:abstractNumId w:val="4"/>
  </w:num>
  <w:num w:numId="19">
    <w:abstractNumId w:val="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31DE"/>
    <w:rsid w:val="000001AA"/>
    <w:rsid w:val="00016C78"/>
    <w:rsid w:val="000253F6"/>
    <w:rsid w:val="000612C3"/>
    <w:rsid w:val="00081357"/>
    <w:rsid w:val="00097A1A"/>
    <w:rsid w:val="000A79E5"/>
    <w:rsid w:val="00100421"/>
    <w:rsid w:val="00105008"/>
    <w:rsid w:val="00105B9C"/>
    <w:rsid w:val="00117DCE"/>
    <w:rsid w:val="001231BF"/>
    <w:rsid w:val="001365B2"/>
    <w:rsid w:val="00144165"/>
    <w:rsid w:val="00154FCF"/>
    <w:rsid w:val="00155713"/>
    <w:rsid w:val="00156A00"/>
    <w:rsid w:val="00157217"/>
    <w:rsid w:val="001574FC"/>
    <w:rsid w:val="00164CF8"/>
    <w:rsid w:val="00176B46"/>
    <w:rsid w:val="0018240C"/>
    <w:rsid w:val="001A07B8"/>
    <w:rsid w:val="001A07F6"/>
    <w:rsid w:val="001A7837"/>
    <w:rsid w:val="001B10C0"/>
    <w:rsid w:val="001D359F"/>
    <w:rsid w:val="001F771D"/>
    <w:rsid w:val="002042E5"/>
    <w:rsid w:val="00214819"/>
    <w:rsid w:val="002366F4"/>
    <w:rsid w:val="00242949"/>
    <w:rsid w:val="00260F8C"/>
    <w:rsid w:val="00293298"/>
    <w:rsid w:val="00296AA1"/>
    <w:rsid w:val="002A5AFD"/>
    <w:rsid w:val="002B1CD4"/>
    <w:rsid w:val="002C6DBE"/>
    <w:rsid w:val="002D3958"/>
    <w:rsid w:val="002D3F27"/>
    <w:rsid w:val="002D5094"/>
    <w:rsid w:val="002F24DE"/>
    <w:rsid w:val="002F5B7A"/>
    <w:rsid w:val="00302931"/>
    <w:rsid w:val="00303E1E"/>
    <w:rsid w:val="00304F73"/>
    <w:rsid w:val="003831DE"/>
    <w:rsid w:val="003B4B4C"/>
    <w:rsid w:val="003B4D8E"/>
    <w:rsid w:val="003B7C47"/>
    <w:rsid w:val="003C2A57"/>
    <w:rsid w:val="003D1526"/>
    <w:rsid w:val="00440280"/>
    <w:rsid w:val="00451EB6"/>
    <w:rsid w:val="004832B5"/>
    <w:rsid w:val="00485957"/>
    <w:rsid w:val="0049731A"/>
    <w:rsid w:val="004B6C48"/>
    <w:rsid w:val="004D098A"/>
    <w:rsid w:val="004D4E59"/>
    <w:rsid w:val="004E032A"/>
    <w:rsid w:val="00542D53"/>
    <w:rsid w:val="005603C9"/>
    <w:rsid w:val="00593518"/>
    <w:rsid w:val="00597382"/>
    <w:rsid w:val="005B338E"/>
    <w:rsid w:val="005B6BAA"/>
    <w:rsid w:val="005C1C50"/>
    <w:rsid w:val="005C76F8"/>
    <w:rsid w:val="005D2A28"/>
    <w:rsid w:val="00600646"/>
    <w:rsid w:val="006116B3"/>
    <w:rsid w:val="0061673F"/>
    <w:rsid w:val="006372BE"/>
    <w:rsid w:val="00642569"/>
    <w:rsid w:val="00663BE3"/>
    <w:rsid w:val="00674149"/>
    <w:rsid w:val="0067613B"/>
    <w:rsid w:val="006773DE"/>
    <w:rsid w:val="00690269"/>
    <w:rsid w:val="006A320E"/>
    <w:rsid w:val="006A7E63"/>
    <w:rsid w:val="006C17FC"/>
    <w:rsid w:val="006D407F"/>
    <w:rsid w:val="006E2322"/>
    <w:rsid w:val="00704278"/>
    <w:rsid w:val="007337D4"/>
    <w:rsid w:val="00733EEB"/>
    <w:rsid w:val="00767544"/>
    <w:rsid w:val="0077135F"/>
    <w:rsid w:val="007806D2"/>
    <w:rsid w:val="007967B4"/>
    <w:rsid w:val="007967F1"/>
    <w:rsid w:val="007C33A0"/>
    <w:rsid w:val="007D05B6"/>
    <w:rsid w:val="007D42A8"/>
    <w:rsid w:val="007D5898"/>
    <w:rsid w:val="007F0693"/>
    <w:rsid w:val="00806485"/>
    <w:rsid w:val="00807C56"/>
    <w:rsid w:val="008455C0"/>
    <w:rsid w:val="008650C1"/>
    <w:rsid w:val="008679F3"/>
    <w:rsid w:val="00872DAE"/>
    <w:rsid w:val="00876587"/>
    <w:rsid w:val="00880AC1"/>
    <w:rsid w:val="00895F2B"/>
    <w:rsid w:val="008C1ACB"/>
    <w:rsid w:val="008C1B0F"/>
    <w:rsid w:val="008C6511"/>
    <w:rsid w:val="008D6AE2"/>
    <w:rsid w:val="008F1D35"/>
    <w:rsid w:val="008F2094"/>
    <w:rsid w:val="008F4D24"/>
    <w:rsid w:val="00931A77"/>
    <w:rsid w:val="009509DB"/>
    <w:rsid w:val="00950B98"/>
    <w:rsid w:val="00964A47"/>
    <w:rsid w:val="0099318B"/>
    <w:rsid w:val="009965A8"/>
    <w:rsid w:val="009B4A02"/>
    <w:rsid w:val="009D7A3C"/>
    <w:rsid w:val="00A06AAA"/>
    <w:rsid w:val="00A42C6C"/>
    <w:rsid w:val="00A675C7"/>
    <w:rsid w:val="00A708AE"/>
    <w:rsid w:val="00AA4BD1"/>
    <w:rsid w:val="00AE4C5F"/>
    <w:rsid w:val="00AF3DD5"/>
    <w:rsid w:val="00B228DB"/>
    <w:rsid w:val="00B425E3"/>
    <w:rsid w:val="00B71466"/>
    <w:rsid w:val="00B92FC7"/>
    <w:rsid w:val="00B954D1"/>
    <w:rsid w:val="00BA18A7"/>
    <w:rsid w:val="00BA1B58"/>
    <w:rsid w:val="00BB4E00"/>
    <w:rsid w:val="00BD36D1"/>
    <w:rsid w:val="00BE0F8D"/>
    <w:rsid w:val="00BE46DC"/>
    <w:rsid w:val="00C15C57"/>
    <w:rsid w:val="00C24AC8"/>
    <w:rsid w:val="00C422A7"/>
    <w:rsid w:val="00C57B03"/>
    <w:rsid w:val="00C57D5E"/>
    <w:rsid w:val="00C83874"/>
    <w:rsid w:val="00C9490E"/>
    <w:rsid w:val="00C95E0E"/>
    <w:rsid w:val="00CA02E1"/>
    <w:rsid w:val="00CB5B6A"/>
    <w:rsid w:val="00CC398D"/>
    <w:rsid w:val="00CD181E"/>
    <w:rsid w:val="00CE6B86"/>
    <w:rsid w:val="00D006E8"/>
    <w:rsid w:val="00D0589F"/>
    <w:rsid w:val="00D1057C"/>
    <w:rsid w:val="00D1705E"/>
    <w:rsid w:val="00D27A46"/>
    <w:rsid w:val="00D45E30"/>
    <w:rsid w:val="00D51B3E"/>
    <w:rsid w:val="00D9241F"/>
    <w:rsid w:val="00D9578F"/>
    <w:rsid w:val="00D96C6C"/>
    <w:rsid w:val="00DA311F"/>
    <w:rsid w:val="00DD17BE"/>
    <w:rsid w:val="00DD6209"/>
    <w:rsid w:val="00DD6D7B"/>
    <w:rsid w:val="00DF280A"/>
    <w:rsid w:val="00E0309B"/>
    <w:rsid w:val="00E06A9D"/>
    <w:rsid w:val="00E21213"/>
    <w:rsid w:val="00E25AB7"/>
    <w:rsid w:val="00E3431E"/>
    <w:rsid w:val="00E4147C"/>
    <w:rsid w:val="00E43411"/>
    <w:rsid w:val="00E434AB"/>
    <w:rsid w:val="00E4529D"/>
    <w:rsid w:val="00E63851"/>
    <w:rsid w:val="00E6503E"/>
    <w:rsid w:val="00E75E16"/>
    <w:rsid w:val="00EA7623"/>
    <w:rsid w:val="00EC4246"/>
    <w:rsid w:val="00EC5DCA"/>
    <w:rsid w:val="00ED586E"/>
    <w:rsid w:val="00EE0798"/>
    <w:rsid w:val="00EE13A5"/>
    <w:rsid w:val="00F01B68"/>
    <w:rsid w:val="00F2691A"/>
    <w:rsid w:val="00F4744D"/>
    <w:rsid w:val="00F51304"/>
    <w:rsid w:val="00F57315"/>
    <w:rsid w:val="00F70408"/>
    <w:rsid w:val="00F7644E"/>
    <w:rsid w:val="00F77065"/>
    <w:rsid w:val="00FE3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paragraph" w:styleId="Header">
    <w:name w:val="header"/>
    <w:basedOn w:val="Normal"/>
    <w:link w:val="HeaderChar"/>
    <w:uiPriority w:val="99"/>
    <w:semiHidden/>
    <w:unhideWhenUsed/>
    <w:rsid w:val="003831DE"/>
    <w:pPr>
      <w:tabs>
        <w:tab w:val="center" w:pos="4680"/>
        <w:tab w:val="right" w:pos="9360"/>
      </w:tabs>
    </w:pPr>
  </w:style>
  <w:style w:type="character" w:customStyle="1" w:styleId="HeaderChar">
    <w:name w:val="Header Char"/>
    <w:basedOn w:val="DefaultParagraphFont"/>
    <w:link w:val="Header"/>
    <w:uiPriority w:val="99"/>
    <w:semiHidden/>
    <w:rsid w:val="003831DE"/>
    <w:rPr>
      <w:sz w:val="24"/>
      <w:szCs w:val="24"/>
    </w:rPr>
  </w:style>
  <w:style w:type="paragraph" w:styleId="Footer">
    <w:name w:val="footer"/>
    <w:basedOn w:val="Normal"/>
    <w:link w:val="FooterChar"/>
    <w:uiPriority w:val="99"/>
    <w:unhideWhenUsed/>
    <w:rsid w:val="003831DE"/>
    <w:pPr>
      <w:tabs>
        <w:tab w:val="center" w:pos="4680"/>
        <w:tab w:val="right" w:pos="9360"/>
      </w:tabs>
    </w:pPr>
  </w:style>
  <w:style w:type="character" w:customStyle="1" w:styleId="FooterChar">
    <w:name w:val="Footer Char"/>
    <w:basedOn w:val="DefaultParagraphFont"/>
    <w:link w:val="Footer"/>
    <w:uiPriority w:val="99"/>
    <w:rsid w:val="003831DE"/>
    <w:rPr>
      <w:sz w:val="24"/>
      <w:szCs w:val="24"/>
    </w:rPr>
  </w:style>
  <w:style w:type="paragraph" w:styleId="ListParagraph">
    <w:name w:val="List Paragraph"/>
    <w:basedOn w:val="Normal"/>
    <w:uiPriority w:val="99"/>
    <w:qFormat/>
    <w:rsid w:val="002D3F27"/>
    <w:pPr>
      <w:ind w:left="720"/>
      <w:contextualSpacing/>
    </w:pPr>
  </w:style>
  <w:style w:type="paragraph" w:customStyle="1" w:styleId="Enspirebulletedtext">
    <w:name w:val="Enspire bulleted text"/>
    <w:basedOn w:val="Normal"/>
    <w:uiPriority w:val="99"/>
    <w:rsid w:val="002D3F27"/>
    <w:pPr>
      <w:spacing w:after="100"/>
    </w:pPr>
    <w:rPr>
      <w:rFonts w:ascii="Arial" w:eastAsia="Times New Roman" w:hAnsi="Arial"/>
      <w:sz w:val="20"/>
    </w:rPr>
  </w:style>
  <w:style w:type="paragraph" w:customStyle="1" w:styleId="Default">
    <w:name w:val="Default"/>
    <w:rsid w:val="002D3F27"/>
    <w:pPr>
      <w:autoSpaceDE w:val="0"/>
      <w:autoSpaceDN w:val="0"/>
      <w:adjustRightInd w:val="0"/>
    </w:pPr>
    <w:rPr>
      <w:rFonts w:ascii="Arial" w:hAnsi="Arial" w:cs="Arial"/>
      <w:color w:val="000000"/>
      <w:sz w:val="24"/>
      <w:szCs w:val="24"/>
    </w:rPr>
  </w:style>
  <w:style w:type="paragraph" w:customStyle="1" w:styleId="EnspireBodyText">
    <w:name w:val="Enspire Body Text"/>
    <w:link w:val="EnspireBodyTextChar"/>
    <w:uiPriority w:val="99"/>
    <w:rsid w:val="0099318B"/>
    <w:pPr>
      <w:spacing w:line="288" w:lineRule="auto"/>
    </w:pPr>
    <w:rPr>
      <w:rFonts w:ascii="Arial" w:eastAsia="Times New Roman" w:hAnsi="Arial" w:cs="Arial"/>
      <w:bCs/>
      <w:szCs w:val="19"/>
    </w:rPr>
  </w:style>
  <w:style w:type="character" w:customStyle="1" w:styleId="EnspireBodyTextChar">
    <w:name w:val="Enspire Body Text Char"/>
    <w:basedOn w:val="DefaultParagraphFont"/>
    <w:link w:val="EnspireBodyText"/>
    <w:uiPriority w:val="99"/>
    <w:locked/>
    <w:rsid w:val="0099318B"/>
    <w:rPr>
      <w:rFonts w:ascii="Arial" w:eastAsia="Times New Roman" w:hAnsi="Arial" w:cs="Arial"/>
      <w:bCs/>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10701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2</cp:revision>
  <dcterms:created xsi:type="dcterms:W3CDTF">2012-01-30T07:01:00Z</dcterms:created>
  <dcterms:modified xsi:type="dcterms:W3CDTF">2012-01-30T07:01:00Z</dcterms:modified>
</cp:coreProperties>
</file>