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200" w:after="240"/>
        <w:jc w:val="center"/>
      </w:pPr>
      <w:r>
        <w:rPr>
          <w:rFonts w:ascii="B Nazanin" w:hAnsi="B Nazanin"/>
          <w:b/>
          <w:color w:val="184C78"/>
          <w:sz w:val="40"/>
        </w:rPr>
        <w:t>معماری و سناریوی جامع سیستم اموال و دارایی‌های ثابت</w:t>
      </w:r>
    </w:p>
    <w:p>
      <w:pPr>
        <w:bidi/>
        <w:spacing w:before="0" w:after="360"/>
        <w:jc w:val="center"/>
      </w:pPr>
      <w:r>
        <w:rPr>
          <w:rFonts w:ascii="B Nazanin" w:hAnsi="B Nazanin"/>
          <w:i/>
          <w:color w:val="646E78"/>
          <w:sz w:val="26"/>
        </w:rPr>
        <w:t>طراحی فرآیندها، محاسبات استهلاک، پلاک‌گذاری و یکپارچگی با حسابداری مالی (نرم‌افزار نگار)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۱. مقدمه و اهداف سیستم اموال و دارایی‌های ثابت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دارایی‌های ثابت شهودی (مانند زمین، ساختمان، ماشین‌آلات، اثاثیه، وسایل نقلیه و تجهیزات رایانه‌ای) بخش عمده‌ای از سرمایه و ارزش دفتری بنگاه‌های اقتصادی و سازمان‌ها را تشکیل می‌دهند. یک سیستم اموال کارآمد و استاندارد وظیفه مدیریت کامل چرخه حیات دارایی (از زمان پیشنهاد خرید تا خروج و اسقاط) را بر عهده دارد.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هدف اول: </w:t>
      </w:r>
      <w:r>
        <w:rPr>
          <w:rFonts w:ascii="B Nazanin" w:hAnsi="B Nazanin"/>
          <w:color w:val="282828"/>
          <w:sz w:val="22"/>
        </w:rPr>
        <w:t>کنترل دقیق فیزیکی دارایی‌ها و جلوگیری از مفقودی یا سوءاستفاده.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هدف دوم: </w:t>
      </w:r>
      <w:r>
        <w:rPr>
          <w:rFonts w:ascii="B Nazanin" w:hAnsi="B Nazanin"/>
          <w:color w:val="282828"/>
          <w:sz w:val="22"/>
        </w:rPr>
        <w:t>محاسبه دقیق هزینه استهلاک و استهلاک انباشته طبق قوانین مالیاتی (ماده ۱۴۹ ق.م.م).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هدف سوم: </w:t>
      </w:r>
      <w:r>
        <w:rPr>
          <w:rFonts w:ascii="B Nazanin" w:hAnsi="B Nazanin"/>
          <w:color w:val="282828"/>
          <w:sz w:val="22"/>
        </w:rPr>
        <w:t>صدور خودکار اسناد حسابداری خرید، جابجایی، استهلاک و فروش دارایی.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هدف چهارم: </w:t>
      </w:r>
      <w:r>
        <w:rPr>
          <w:rFonts w:ascii="B Nazanin" w:hAnsi="B Nazanin"/>
          <w:color w:val="282828"/>
          <w:sz w:val="22"/>
        </w:rPr>
        <w:t>اموال‌گردانی سریع با بارکد/QR و شناسایی کسر و اضافات دارایی.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۲. ساختار اطلاعات پایه و شناسنامه دارایی (پلاک‌گذاری)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هر دارایی ثابت در سیستم دارای یک شناسنامه منحصر‌به‌فرد و پلاک اموال اختصاصی خواهد بود. اطلاعات پایه سیستم شامل موارد زیر است: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الف) طبقه‌بندی و گروه‌بندی دارایی‌ها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دارایی‌ها بر اساس جدول استهلاکات قانون مالیات‌های مستقیم در گروه‌های اصلی و فرعی قرار می‌گیرند: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۱. زمین (غیر قابل استهلاک)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۲. ساختمان و تأسیسات (روش مستقیم یا نزولی طبق قانون)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۳. ماشین‌آلات و تجهیزات تولیدی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۴. وسایل نقلیه (سواری، باربری، سنگین)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۵. اثاثیه، منصوبات و لوازم اداری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۶. تجهیزات رایانه‌ای، سخت‌افزار و شبکه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۷. دارایی‌های نامشهود (نرم‌افزارها، حق امتیاز، برند)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ب) فیلدهای شناسنامه دارایی (کارت اموال)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پلاک اموال: </w:t>
      </w:r>
      <w:r>
        <w:rPr>
          <w:rFonts w:ascii="B Nazanin" w:hAnsi="B Nazanin"/>
          <w:color w:val="282828"/>
          <w:sz w:val="22"/>
        </w:rPr>
        <w:t>کد پلاک اموال (بارکد / QR Code / RFID)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مشخصات فنی: </w:t>
      </w:r>
      <w:r>
        <w:rPr>
          <w:rFonts w:ascii="B Nazanin" w:hAnsi="B Nazanin"/>
          <w:color w:val="282828"/>
          <w:sz w:val="22"/>
        </w:rPr>
        <w:t>شرح کامل دارایی، مدل، شماره سریال فابریک و سازنده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بهای تمام‌شده اولیه: </w:t>
      </w:r>
      <w:r>
        <w:rPr>
          <w:rFonts w:ascii="B Nazanin" w:hAnsi="B Nazanin"/>
          <w:color w:val="282828"/>
          <w:sz w:val="22"/>
        </w:rPr>
        <w:t>تاریخ فاکتور، قیمت خرید، هزینه حمل و نصب (تکمیل بهای تمام‌شده)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محل استقرار: </w:t>
      </w:r>
      <w:r>
        <w:rPr>
          <w:rFonts w:ascii="B Nazanin" w:hAnsi="B Nazanin"/>
          <w:color w:val="282828"/>
          <w:sz w:val="22"/>
        </w:rPr>
        <w:t>مرکز هزینه، واحد سازمانی، محل دقیق استقرار (اتاق/سالن)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تحویل‌گیرنده: </w:t>
      </w:r>
      <w:r>
        <w:rPr>
          <w:rFonts w:ascii="B Nazanin" w:hAnsi="B Nazanin"/>
          <w:color w:val="282828"/>
          <w:sz w:val="22"/>
        </w:rPr>
        <w:t>نام و کد پرسنلی شخص تحویل‌گیرنده و امین اموال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پارامترهای استهلاک: </w:t>
      </w:r>
      <w:r>
        <w:rPr>
          <w:rFonts w:ascii="B Nazanin" w:hAnsi="B Nazanin"/>
          <w:color w:val="282828"/>
          <w:sz w:val="22"/>
        </w:rPr>
        <w:t>روش استهلاک (مستقیم / نزولی)، نرخ/عمر مفید، ارزش اسقاط (Salvage Value)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۳. روش‌های محاسبه استهلاک و ماده ۱۴۹ قانون مالیات‌ها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سیستم اموال باید به‌طور هوشمند محاسبات استهلاک را بر اساس روش‌های قانونی زیر انجام دهد: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روش محاسبه</w:t>
            </w:r>
          </w:p>
        </w:tc>
        <w:tc>
          <w:tcPr>
            <w:tcW w:type="dxa" w:w="331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فرمول ریاضی / نحوه محاسبه</w:t>
            </w:r>
          </w:p>
        </w:tc>
        <w:tc>
          <w:tcPr>
            <w:tcW w:type="dxa" w:w="331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کاربرد استاندارد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روش مستقیم (Line-Straight)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استهلاک سالانه = (بهای تمام‌شده - ارزش اسقاط) ÷ عمر مفید (سال)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ساختمان‌ها، اثاثیه اداری، تجهیزات شبکه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روش نزولی (Declining Balance)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استهلاک سالانه = ارزش دفتری اول دوره × نرخ استهلاک ثابت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ماشین‌آلات، وسایل نقلیه، ابزارآلات صنعتی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روش کارکرد (Units of Production)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استهلاک = (ساعات کارکرد سال ÷ کل ساعات مفید) × بهای تمام‌شده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دستگاه‌های CNC، ماشین‌آلات عمرانی و معدنی</w:t>
            </w:r>
          </w:p>
        </w:tc>
      </w:tr>
    </w:tbl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۴. چرخه حیات و عملیات طی دوره دارایی‌ها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در طول زمان، تغییرات گوناگونی روی دارایی رخ می‌دهد که سیستم باید تمام آنها را مدیریت نماید: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b/>
          <w:color w:val="1E1E1E"/>
          <w:sz w:val="22"/>
        </w:rPr>
        <w:t xml:space="preserve">۱. ورود و تحصیل دارایی (Capitalization): </w:t>
      </w:r>
      <w:r>
        <w:rPr>
          <w:rFonts w:ascii="B Nazanin" w:hAnsi="B Nazanin"/>
          <w:color w:val="282828"/>
          <w:sz w:val="22"/>
        </w:rPr>
        <w:t>ثبت فاکتور خرید، اضافه کردن هزینه‌های مستقیم حمل، گمرک و نصب به بهای تمام‌شده دارایی و صدور پلاک اموال.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b/>
          <w:color w:val="1E1E1E"/>
          <w:sz w:val="22"/>
        </w:rPr>
        <w:t xml:space="preserve">۲. جابجایی و نقل‌وانتقال (Transfer): </w:t>
      </w:r>
      <w:r>
        <w:rPr>
          <w:rFonts w:ascii="B Nazanin" w:hAnsi="B Nazanin"/>
          <w:color w:val="282828"/>
          <w:sz w:val="22"/>
        </w:rPr>
        <w:t>تغییر محل فیزیکی، مرکز هزینه یا شخص تحویل‌گیرنده همراه با چاپ فرم صورتجلسه تحویل و تحول اموال.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b/>
          <w:color w:val="1E1E1E"/>
          <w:sz w:val="22"/>
        </w:rPr>
        <w:t xml:space="preserve">۳. تعمیرات اساسی و مخارج سرمایه‌ای (Overhaul): </w:t>
      </w:r>
      <w:r>
        <w:rPr>
          <w:rFonts w:ascii="B Nazanin" w:hAnsi="B Nazanin"/>
          <w:color w:val="282828"/>
          <w:sz w:val="22"/>
        </w:rPr>
        <w:t>هزینه‌هایی که موجب افزایش عمر مفید یا کارایی دارایی می‌شوند (مانند تعویض موتور خودرو یا بازسازی اساسی ساختمان) به بهای تمام‌شده دارایی افزوده می‌شوند.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b/>
          <w:color w:val="1E1E1E"/>
          <w:sz w:val="22"/>
        </w:rPr>
        <w:t xml:space="preserve">۴. محاسبه بستن استهلاک دوره (Depreciation Run): </w:t>
      </w:r>
      <w:r>
        <w:rPr>
          <w:rFonts w:ascii="B Nazanin" w:hAnsi="B Nazanin"/>
          <w:color w:val="282828"/>
          <w:sz w:val="22"/>
        </w:rPr>
        <w:t>محاسبه دقیق محاسبه استهلاک ماهانه/سالانه برای کلیه دارایی‌های فعال و بروزرسانی ارزش دفتری.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b/>
          <w:color w:val="1E1E1E"/>
          <w:sz w:val="22"/>
        </w:rPr>
        <w:t xml:space="preserve">۵. خروج، فروش و برکناری (Disposal / Retirement): </w:t>
      </w:r>
      <w:r>
        <w:rPr>
          <w:rFonts w:ascii="B Nazanin" w:hAnsi="B Nazanin"/>
          <w:color w:val="282828"/>
          <w:sz w:val="22"/>
        </w:rPr>
        <w:t>در صورت فروش، سرقت، اسقاط یا کنارگذاری دارایی، محاسبه سود یا زیان حاصل از برکناری و خارج کردن دارایی از دفتر اموال.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۵. نحوه اتصال و صدور سند خودکار حسابداری (سند دوبل)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سیستم اموال به‌طور کامل به ماژول حسابداری متصل بوده و اسناد زیر را به‌صورت اتوماتیک صادر می‌کند: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الف) سند خرید و تحصیل دارایی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بدهکار: دارایی‌های ثابت / گروه مربوطه (مثلاً وسایل نقلیه)</w:t>
        <w:br/>
        <w:t>بستانکار: حساب‌های پرداختنی / صندوق / بانک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ب) سند محاسبه استهلاک دوره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بدهکار: هزینه استهلاک دارایی‌ها (بر اساس مرکز هزینه مربوطه)</w:t>
        <w:br/>
        <w:t>بستانکار: استهلاک انباشته دارایی‌های ثابت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ج) سند فروش / برکناری دارایی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بدهکار: بانک / دریافتنی (مبلغ فروش)</w:t>
        <w:br/>
        <w:t>بدهکار: استهلاک انباشته (تا تاریخ فروش)</w:t>
        <w:br/>
        <w:t>بستانکار: دارایی ثابت (بهای تمام‌شده اولیه)</w:t>
        <w:br/>
        <w:t>بدهکار/بستانکار: سود یا زیان حاصل از فروش دارایی‌های ثابت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۶. سیستم اموال‌گردانی و شمارش فیزیکی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برای تطبیق موجودی دفتری با موجودی فیزیکی دارایی‌ها، عملیات اموال‌گردانی انجام می‌شود: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فرایند اموال‌گردانی: </w:t>
      </w:r>
      <w:r>
        <w:rPr>
          <w:rFonts w:ascii="B Nazanin" w:hAnsi="B Nazanin"/>
          <w:color w:val="282828"/>
          <w:sz w:val="22"/>
        </w:rPr>
        <w:t>چاپ لیست شمارش بر اساس محل استقرار یا تحویل‌گیرنده.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اسکن سریع: </w:t>
      </w:r>
      <w:r>
        <w:rPr>
          <w:rFonts w:ascii="B Nazanin" w:hAnsi="B Nazanin"/>
          <w:color w:val="282828"/>
          <w:sz w:val="22"/>
        </w:rPr>
        <w:t>اسکن بارکد پلاک اموال با دستگاه بارکدخوان پرتابل یا موبایل.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مغایرت‌گیری خودکار: </w:t>
      </w:r>
      <w:r>
        <w:rPr>
          <w:rFonts w:ascii="B Nazanin" w:hAnsi="B Nazanin"/>
          <w:color w:val="282828"/>
          <w:sz w:val="22"/>
        </w:rPr>
        <w:t>تفکیک اموال «موجود»، «جابجا شده بدون مجوز»، «مفقودی/کسری» و «اضافی».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صورتجلسه مغایرت: </w:t>
      </w:r>
      <w:r>
        <w:rPr>
          <w:rFonts w:ascii="B Nazanin" w:hAnsi="B Nazanin"/>
          <w:color w:val="282828"/>
          <w:sz w:val="22"/>
        </w:rPr>
        <w:t>صدور فرم‌های تعدیل و صورتجلسه اموال‌گردانی برای سرپرست اموال.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۷. گزارشات جامع و مدیریتی سیستم اموال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سیستم اموال مجموعه کاملی از گزارش‌های قانونی و مدیریتی ارائه می‌دهد: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۱. جدول استهلاک دارایی‌ها: </w:t>
      </w:r>
      <w:r>
        <w:rPr>
          <w:rFonts w:ascii="B Nazanin" w:hAnsi="B Nazanin"/>
          <w:color w:val="282828"/>
          <w:sz w:val="22"/>
        </w:rPr>
        <w:t>جدول استاندارد استهلاک دارایی‌های ثابت (مورد تایید دارایی و ممیز مالیاتی)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۲. کارت و شناسنامه اموال: </w:t>
      </w:r>
      <w:r>
        <w:rPr>
          <w:rFonts w:ascii="B Nazanin" w:hAnsi="B Nazanin"/>
          <w:color w:val="282828"/>
          <w:sz w:val="22"/>
        </w:rPr>
        <w:t>نمایش کامل تاریخچه تحصیل، جابجایی‌ها، تعمیرات اساسی و استهلاک انباشته یک دارایی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۳. گزارش اموال نزد پرسنل: </w:t>
      </w:r>
      <w:r>
        <w:rPr>
          <w:rFonts w:ascii="B Nazanin" w:hAnsi="B Nazanin"/>
          <w:color w:val="282828"/>
          <w:sz w:val="22"/>
        </w:rPr>
        <w:t>لیست کلیه دارایی‌های تحویل داده‌شده به یک فرد هنگام تسویه حساب یا جابجایی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۴. گزارش دارایی‌های کاملاً مستهلک شده: </w:t>
      </w:r>
      <w:r>
        <w:rPr>
          <w:rFonts w:ascii="B Nazanin" w:hAnsi="B Nazanin"/>
          <w:color w:val="282828"/>
          <w:sz w:val="22"/>
        </w:rPr>
        <w:t>لیست دارایی‌هایی که ارزش دفتری آنها به ارزش اسقاط رسیده اما همچنان در خط تولید یا اداری فعال هستند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۵. گزارش سود/زیان فروش دارایی: </w:t>
      </w:r>
      <w:r>
        <w:rPr>
          <w:rFonts w:ascii="B Nazanin" w:hAnsi="B Nazanin"/>
          <w:color w:val="282828"/>
          <w:sz w:val="22"/>
        </w:rPr>
        <w:t>گزارش سود و زیان ناشی از واگذاری و فروش دارایی‌های ثابت در سال مالی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